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E" w:rsidRPr="002A1FF0" w:rsidRDefault="00A1020E" w:rsidP="00C0740B">
      <w:pPr>
        <w:jc w:val="center"/>
        <w:rPr>
          <w:rFonts w:ascii="Times New Roman" w:hAnsi="Times New Roman"/>
          <w:b/>
          <w:sz w:val="24"/>
          <w:szCs w:val="24"/>
        </w:rPr>
      </w:pPr>
      <w:r w:rsidRPr="002A1FF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1020E" w:rsidRPr="002A1FF0" w:rsidRDefault="00A1020E" w:rsidP="002A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FF0">
        <w:rPr>
          <w:rFonts w:ascii="Times New Roman" w:hAnsi="Times New Roman"/>
          <w:b/>
          <w:sz w:val="24"/>
          <w:szCs w:val="24"/>
        </w:rPr>
        <w:t>к бюджету муниципального образования Красноярское сельское поселение</w:t>
      </w:r>
    </w:p>
    <w:p w:rsidR="00A1020E" w:rsidRPr="002A1FF0" w:rsidRDefault="00A1020E" w:rsidP="002A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FF0">
        <w:rPr>
          <w:rFonts w:ascii="Times New Roman" w:hAnsi="Times New Roman"/>
          <w:b/>
          <w:sz w:val="24"/>
          <w:szCs w:val="24"/>
        </w:rPr>
        <w:t xml:space="preserve"> на 2016 год </w:t>
      </w:r>
    </w:p>
    <w:p w:rsidR="00A1020E" w:rsidRPr="002A1FF0" w:rsidRDefault="00A1020E" w:rsidP="002A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20E" w:rsidRPr="002A1FF0" w:rsidRDefault="00A1020E" w:rsidP="002A1FF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A1FF0">
        <w:rPr>
          <w:rFonts w:ascii="Times New Roman" w:hAnsi="Times New Roman"/>
          <w:b/>
          <w:bCs/>
          <w:i/>
          <w:iCs/>
          <w:sz w:val="24"/>
          <w:szCs w:val="24"/>
        </w:rPr>
        <w:t>Введение.</w:t>
      </w:r>
    </w:p>
    <w:p w:rsidR="00A1020E" w:rsidRPr="002A1FF0" w:rsidRDefault="00A1020E" w:rsidP="002A1FF0">
      <w:pPr>
        <w:pStyle w:val="BodyTextIndent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1FF0">
        <w:rPr>
          <w:rFonts w:ascii="Times New Roman" w:hAnsi="Times New Roman"/>
          <w:sz w:val="24"/>
          <w:szCs w:val="24"/>
        </w:rPr>
        <w:t xml:space="preserve"> Проект Решения Совета Красноярского сельского на </w:t>
      </w:r>
      <w:r>
        <w:rPr>
          <w:rFonts w:ascii="Times New Roman" w:hAnsi="Times New Roman"/>
          <w:sz w:val="24"/>
          <w:szCs w:val="24"/>
        </w:rPr>
        <w:t>2016</w:t>
      </w:r>
      <w:r w:rsidRPr="002A1FF0">
        <w:rPr>
          <w:rFonts w:ascii="Times New Roman" w:hAnsi="Times New Roman"/>
          <w:sz w:val="24"/>
          <w:szCs w:val="24"/>
        </w:rPr>
        <w:t>год  соответствует  Бюджетному Кодексу РФ.</w:t>
      </w:r>
    </w:p>
    <w:p w:rsidR="00A1020E" w:rsidRPr="002A1FF0" w:rsidRDefault="00A1020E" w:rsidP="002A1F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1FF0">
        <w:rPr>
          <w:rFonts w:ascii="Times New Roman" w:hAnsi="Times New Roman"/>
          <w:sz w:val="24"/>
          <w:szCs w:val="24"/>
        </w:rPr>
        <w:t>Бюджет составлен по бюджетной классификации, встроенной  в Бюджетный Кодекс Российской Федерации.</w:t>
      </w:r>
    </w:p>
    <w:p w:rsidR="00A1020E" w:rsidRPr="002A1FF0" w:rsidRDefault="00A1020E" w:rsidP="002A1F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1FF0">
        <w:rPr>
          <w:rFonts w:ascii="Times New Roman" w:hAnsi="Times New Roman"/>
          <w:sz w:val="24"/>
          <w:szCs w:val="24"/>
        </w:rPr>
        <w:t xml:space="preserve">Согласно БК РФ классификации группы, подгруппы доходов, источников финансирования дефицита, разделов и подразделов расходов, групп-статей операций сектора государственного управления едины для всех бюджетов. </w:t>
      </w:r>
    </w:p>
    <w:p w:rsidR="00A1020E" w:rsidRPr="002A1FF0" w:rsidRDefault="00A1020E" w:rsidP="002A1F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1FF0">
        <w:rPr>
          <w:rFonts w:ascii="Times New Roman" w:hAnsi="Times New Roman"/>
          <w:sz w:val="24"/>
          <w:szCs w:val="24"/>
        </w:rPr>
        <w:t>Бюджетным Кодексом РФ предоставлено право каждому бюджету формировать классификацию (в пределах целевой статьи и вида расходов) самостоятельно, исходя из своего набора расходных обязательств.</w:t>
      </w:r>
    </w:p>
    <w:p w:rsidR="00A1020E" w:rsidRPr="002A1FF0" w:rsidRDefault="00A1020E" w:rsidP="002A1FF0">
      <w:pPr>
        <w:pStyle w:val="BodyTextIndent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1FF0">
        <w:rPr>
          <w:rFonts w:ascii="Times New Roman" w:hAnsi="Times New Roman"/>
          <w:sz w:val="24"/>
          <w:szCs w:val="24"/>
        </w:rPr>
        <w:t>При формировании  местного бюджета учитывались принятые федеральные законы, предусматривающие внесение изменений в бюджетное и налоговое законодательство, вступающее в действие с 201</w:t>
      </w:r>
      <w:r>
        <w:rPr>
          <w:rFonts w:ascii="Times New Roman" w:hAnsi="Times New Roman"/>
          <w:sz w:val="24"/>
          <w:szCs w:val="24"/>
        </w:rPr>
        <w:t>6</w:t>
      </w:r>
      <w:r w:rsidRPr="002A1FF0">
        <w:rPr>
          <w:rFonts w:ascii="Times New Roman" w:hAnsi="Times New Roman"/>
          <w:sz w:val="24"/>
          <w:szCs w:val="24"/>
        </w:rPr>
        <w:t xml:space="preserve"> года, Устав МО «Красноярское сельское поселение», Положения, принятые депутатами Совета Красноярского сельского поселения, реестр расходных обязательств муниципального образования Красноярское сельское поселение. </w:t>
      </w:r>
    </w:p>
    <w:p w:rsidR="00A1020E" w:rsidRPr="002A1FF0" w:rsidRDefault="00A1020E" w:rsidP="002A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20E" w:rsidRDefault="00A1020E" w:rsidP="00C0740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Доходы.</w:t>
      </w:r>
    </w:p>
    <w:p w:rsidR="00A1020E" w:rsidRPr="00A168D0" w:rsidRDefault="00A1020E" w:rsidP="00A16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68D0">
        <w:rPr>
          <w:rFonts w:ascii="Times New Roman" w:hAnsi="Times New Roman"/>
          <w:b/>
          <w:sz w:val="24"/>
          <w:szCs w:val="24"/>
        </w:rPr>
        <w:t xml:space="preserve">Особенности расчетов </w:t>
      </w:r>
    </w:p>
    <w:p w:rsidR="00A1020E" w:rsidRPr="00A168D0" w:rsidRDefault="00A1020E" w:rsidP="00A16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68D0">
        <w:rPr>
          <w:rFonts w:ascii="Times New Roman" w:hAnsi="Times New Roman"/>
          <w:b/>
          <w:sz w:val="24"/>
          <w:szCs w:val="24"/>
        </w:rPr>
        <w:t xml:space="preserve">поступлений по основным доходным источникам </w:t>
      </w:r>
    </w:p>
    <w:p w:rsidR="00A1020E" w:rsidRPr="00A168D0" w:rsidRDefault="00A1020E" w:rsidP="00A168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20E" w:rsidRPr="00A168D0" w:rsidRDefault="00A1020E" w:rsidP="00A168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68D0">
        <w:rPr>
          <w:rFonts w:ascii="Times New Roman" w:hAnsi="Times New Roman"/>
          <w:sz w:val="24"/>
          <w:szCs w:val="24"/>
        </w:rPr>
        <w:t xml:space="preserve">Бюджет муниципального образования </w:t>
      </w:r>
      <w:r>
        <w:rPr>
          <w:rFonts w:ascii="Times New Roman" w:hAnsi="Times New Roman"/>
          <w:sz w:val="24"/>
          <w:szCs w:val="24"/>
        </w:rPr>
        <w:t>Красноярское сельское поселение</w:t>
      </w:r>
      <w:r w:rsidRPr="00A168D0">
        <w:rPr>
          <w:rFonts w:ascii="Times New Roman" w:hAnsi="Times New Roman"/>
          <w:sz w:val="24"/>
          <w:szCs w:val="24"/>
        </w:rPr>
        <w:t xml:space="preserve"> (далее- </w:t>
      </w:r>
      <w:r>
        <w:rPr>
          <w:rFonts w:ascii="Times New Roman" w:hAnsi="Times New Roman"/>
          <w:sz w:val="24"/>
          <w:szCs w:val="24"/>
        </w:rPr>
        <w:t>поселение)  на 2016</w:t>
      </w:r>
      <w:r w:rsidRPr="00A168D0">
        <w:rPr>
          <w:rFonts w:ascii="Times New Roman" w:hAnsi="Times New Roman"/>
          <w:sz w:val="24"/>
          <w:szCs w:val="24"/>
        </w:rPr>
        <w:t xml:space="preserve"> год по доходам сформирован в сумме   </w:t>
      </w:r>
      <w:r>
        <w:rPr>
          <w:rFonts w:ascii="Times New Roman" w:hAnsi="Times New Roman"/>
          <w:sz w:val="24"/>
          <w:szCs w:val="24"/>
        </w:rPr>
        <w:t>7980,2</w:t>
      </w:r>
      <w:r w:rsidRPr="00A168D0">
        <w:rPr>
          <w:rFonts w:ascii="Times New Roman" w:hAnsi="Times New Roman"/>
          <w:sz w:val="24"/>
          <w:szCs w:val="24"/>
        </w:rPr>
        <w:t xml:space="preserve"> тыс. руб.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3599,0</w:t>
      </w:r>
      <w:r w:rsidRPr="00A168D0">
        <w:rPr>
          <w:rFonts w:ascii="Times New Roman" w:hAnsi="Times New Roman"/>
          <w:sz w:val="24"/>
          <w:szCs w:val="24"/>
        </w:rPr>
        <w:t xml:space="preserve"> тыс.руб., безвозмездные поступл</w:t>
      </w:r>
      <w:r>
        <w:rPr>
          <w:rFonts w:ascii="Times New Roman" w:hAnsi="Times New Roman"/>
          <w:sz w:val="24"/>
          <w:szCs w:val="24"/>
        </w:rPr>
        <w:t xml:space="preserve">ения и областного бюджета, </w:t>
      </w:r>
      <w:r w:rsidRPr="00A168D0">
        <w:rPr>
          <w:rFonts w:ascii="Times New Roman" w:hAnsi="Times New Roman"/>
          <w:sz w:val="24"/>
          <w:szCs w:val="24"/>
        </w:rPr>
        <w:t>межбюджетные трансферты</w:t>
      </w:r>
      <w:r>
        <w:rPr>
          <w:rFonts w:ascii="Times New Roman" w:hAnsi="Times New Roman"/>
          <w:sz w:val="24"/>
          <w:szCs w:val="24"/>
        </w:rPr>
        <w:t xml:space="preserve"> в сумме</w:t>
      </w:r>
      <w:r w:rsidRPr="00A16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4381,2</w:t>
      </w:r>
      <w:r w:rsidRPr="00A168D0">
        <w:rPr>
          <w:rFonts w:ascii="Times New Roman" w:hAnsi="Times New Roman"/>
          <w:sz w:val="24"/>
          <w:szCs w:val="24"/>
        </w:rPr>
        <w:t xml:space="preserve"> тыс. руб. </w:t>
      </w:r>
    </w:p>
    <w:p w:rsidR="00A1020E" w:rsidRPr="00F71B4C" w:rsidRDefault="00A1020E" w:rsidP="00C07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8D0">
        <w:rPr>
          <w:rFonts w:ascii="Times New Roman" w:hAnsi="Times New Roman"/>
          <w:sz w:val="24"/>
          <w:szCs w:val="24"/>
        </w:rPr>
        <w:t>Темп роста к ожидаемому исполнению бюджета  201</w:t>
      </w:r>
      <w:r>
        <w:rPr>
          <w:rFonts w:ascii="Times New Roman" w:hAnsi="Times New Roman"/>
          <w:sz w:val="24"/>
          <w:szCs w:val="24"/>
        </w:rPr>
        <w:t>5</w:t>
      </w:r>
      <w:r w:rsidRPr="00A168D0">
        <w:rPr>
          <w:rFonts w:ascii="Times New Roman" w:hAnsi="Times New Roman"/>
          <w:sz w:val="24"/>
          <w:szCs w:val="24"/>
        </w:rPr>
        <w:t xml:space="preserve"> года (</w:t>
      </w:r>
      <w:r>
        <w:rPr>
          <w:rFonts w:ascii="Times New Roman" w:hAnsi="Times New Roman"/>
          <w:sz w:val="24"/>
          <w:szCs w:val="24"/>
        </w:rPr>
        <w:t>11082,5</w:t>
      </w:r>
      <w:r w:rsidRPr="00A168D0">
        <w:rPr>
          <w:rFonts w:ascii="Times New Roman" w:hAnsi="Times New Roman"/>
          <w:sz w:val="24"/>
          <w:szCs w:val="24"/>
        </w:rPr>
        <w:t xml:space="preserve"> тыс.руб..) прогнозируется на </w:t>
      </w:r>
      <w:r>
        <w:rPr>
          <w:rFonts w:ascii="Times New Roman" w:hAnsi="Times New Roman"/>
          <w:sz w:val="24"/>
          <w:szCs w:val="24"/>
        </w:rPr>
        <w:t>72</w:t>
      </w:r>
      <w:r w:rsidRPr="00A168D0">
        <w:rPr>
          <w:rFonts w:ascii="Times New Roman" w:hAnsi="Times New Roman"/>
          <w:sz w:val="24"/>
          <w:szCs w:val="24"/>
        </w:rPr>
        <w:t xml:space="preserve">%. Снижение обусловлено из-за уменьшения </w:t>
      </w:r>
      <w:r>
        <w:rPr>
          <w:rFonts w:ascii="Times New Roman" w:hAnsi="Times New Roman"/>
          <w:sz w:val="24"/>
          <w:szCs w:val="24"/>
        </w:rPr>
        <w:t>дотации бюджету поселения, а также снижения роста собственных доходов, в частности найма жилья, из-за уменьшения муниципального жилого фонда, аренды муниципального имущества (из-за произошедшего пожара 2015 года ушло 3 арендатора,</w:t>
      </w:r>
      <w:r>
        <w:t xml:space="preserve">  </w:t>
      </w:r>
      <w:r w:rsidRPr="00F71B4C">
        <w:rPr>
          <w:rFonts w:ascii="Times New Roman" w:hAnsi="Times New Roman"/>
          <w:sz w:val="24"/>
          <w:szCs w:val="24"/>
        </w:rPr>
        <w:t>расторгнуты  договора аренды на 2015 и последующие годы.</w:t>
      </w:r>
      <w:r>
        <w:rPr>
          <w:rFonts w:ascii="Times New Roman" w:hAnsi="Times New Roman"/>
          <w:sz w:val="24"/>
          <w:szCs w:val="24"/>
        </w:rPr>
        <w:t>)</w:t>
      </w:r>
    </w:p>
    <w:p w:rsidR="00A1020E" w:rsidRPr="00614089" w:rsidRDefault="00A1020E" w:rsidP="00C07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4089">
        <w:rPr>
          <w:rFonts w:ascii="Times New Roman" w:hAnsi="Times New Roman"/>
          <w:sz w:val="24"/>
          <w:szCs w:val="24"/>
        </w:rPr>
        <w:t>Расчет объема доходов на 2016 год и на  плановый период 2017 и 2018 годов осуществлялся в соответствии рекомендациями доведенные письмом Департамента финансов Томской области от 14.08.2015 № 50-02/18/1-147 «О подходах по формированию межбюджетных отношений на 2016 год и плановый период 201 и 2018годы"</w:t>
      </w:r>
    </w:p>
    <w:p w:rsidR="00A1020E" w:rsidRDefault="00A1020E" w:rsidP="00C0740B">
      <w:pPr>
        <w:pStyle w:val="BodyText"/>
        <w:ind w:firstLine="708"/>
      </w:pPr>
    </w:p>
    <w:p w:rsidR="00A1020E" w:rsidRDefault="00A1020E" w:rsidP="00C0740B">
      <w:pPr>
        <w:pStyle w:val="BodyText"/>
        <w:ind w:firstLine="708"/>
      </w:pPr>
    </w:p>
    <w:p w:rsidR="00A1020E" w:rsidRPr="0051090A" w:rsidRDefault="00A1020E" w:rsidP="00C0740B">
      <w:pPr>
        <w:pStyle w:val="BodyText"/>
        <w:ind w:firstLine="708"/>
      </w:pPr>
    </w:p>
    <w:p w:rsidR="00A1020E" w:rsidRPr="00037854" w:rsidRDefault="00A1020E" w:rsidP="00C0740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37854">
        <w:rPr>
          <w:rFonts w:ascii="Times New Roman" w:hAnsi="Times New Roman"/>
          <w:b/>
          <w:i/>
          <w:sz w:val="24"/>
          <w:szCs w:val="24"/>
          <w:u w:val="single"/>
        </w:rPr>
        <w:t>Налог на доходы физических лиц</w:t>
      </w:r>
    </w:p>
    <w:p w:rsidR="00A1020E" w:rsidRPr="00037854" w:rsidRDefault="00A1020E" w:rsidP="00C07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7854">
        <w:rPr>
          <w:rFonts w:ascii="Times New Roman" w:hAnsi="Times New Roman"/>
          <w:sz w:val="24"/>
          <w:szCs w:val="24"/>
        </w:rPr>
        <w:t xml:space="preserve">Прогноз поступления налога на доходы физических лиц  (далее- НДФЛ)  рассчитан в условиях действия главы 23 части второй налогового кодекса  Российской Федерации. </w:t>
      </w:r>
    </w:p>
    <w:p w:rsidR="00A1020E" w:rsidRPr="00037854" w:rsidRDefault="00A1020E" w:rsidP="0003785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37854">
        <w:rPr>
          <w:rFonts w:ascii="Times New Roman" w:hAnsi="Times New Roman"/>
          <w:sz w:val="24"/>
          <w:szCs w:val="24"/>
        </w:rPr>
        <w:tab/>
        <w:t>В основу расчета  налога на доходы физических лиц приняты прогнозируемый фонд оп</w:t>
      </w:r>
      <w:r>
        <w:rPr>
          <w:rFonts w:ascii="Times New Roman" w:hAnsi="Times New Roman"/>
          <w:sz w:val="24"/>
          <w:szCs w:val="24"/>
        </w:rPr>
        <w:t>латы труда (далее – ФОТ) на 2016</w:t>
      </w:r>
      <w:r w:rsidRPr="0003785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</w:t>
      </w:r>
      <w:r w:rsidRPr="00037854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</w:t>
      </w:r>
      <w:r w:rsidRPr="00037854">
        <w:rPr>
          <w:rFonts w:ascii="Times New Roman" w:hAnsi="Times New Roman"/>
          <w:sz w:val="24"/>
          <w:szCs w:val="24"/>
        </w:rPr>
        <w:t xml:space="preserve"> годов, согласно показателей прогноза социально-экономического развития. В основу расчета налога на доходы физических лиц приняты данные об исполнении бюджета муниципального образования Красноярское сельское поселение за период  200</w:t>
      </w:r>
      <w:r>
        <w:rPr>
          <w:rFonts w:ascii="Times New Roman" w:hAnsi="Times New Roman"/>
          <w:sz w:val="24"/>
          <w:szCs w:val="24"/>
        </w:rPr>
        <w:t>8</w:t>
      </w:r>
      <w:r w:rsidRPr="00037854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5</w:t>
      </w:r>
      <w:r w:rsidRPr="00037854">
        <w:rPr>
          <w:rFonts w:ascii="Times New Roman" w:hAnsi="Times New Roman"/>
          <w:sz w:val="24"/>
          <w:szCs w:val="24"/>
        </w:rPr>
        <w:t xml:space="preserve"> годы. В 201</w:t>
      </w:r>
      <w:r>
        <w:rPr>
          <w:rFonts w:ascii="Times New Roman" w:hAnsi="Times New Roman"/>
          <w:sz w:val="24"/>
          <w:szCs w:val="24"/>
        </w:rPr>
        <w:t>6</w:t>
      </w:r>
      <w:r w:rsidRPr="00037854">
        <w:rPr>
          <w:rFonts w:ascii="Times New Roman" w:hAnsi="Times New Roman"/>
          <w:sz w:val="24"/>
          <w:szCs w:val="24"/>
        </w:rPr>
        <w:t xml:space="preserve"> году поступление НДФЛ  в бюджет муниципального образования Красноярское сельское поселение в размере </w:t>
      </w:r>
      <w:r>
        <w:rPr>
          <w:rFonts w:ascii="Times New Roman" w:hAnsi="Times New Roman"/>
          <w:b/>
          <w:sz w:val="24"/>
          <w:szCs w:val="24"/>
        </w:rPr>
        <w:t xml:space="preserve">696,0 </w:t>
      </w:r>
      <w:r w:rsidRPr="008E0CF7">
        <w:rPr>
          <w:rFonts w:ascii="Times New Roman" w:hAnsi="Times New Roman"/>
          <w:color w:val="000000"/>
          <w:sz w:val="24"/>
          <w:szCs w:val="24"/>
        </w:rPr>
        <w:t>тыс.руб.</w:t>
      </w:r>
    </w:p>
    <w:p w:rsidR="00A1020E" w:rsidRPr="009A705A" w:rsidRDefault="00A1020E" w:rsidP="00C0740B">
      <w:pPr>
        <w:jc w:val="both"/>
        <w:rPr>
          <w:rFonts w:ascii="Times New Roman" w:hAnsi="Times New Roman"/>
          <w:sz w:val="24"/>
          <w:szCs w:val="24"/>
        </w:rPr>
      </w:pPr>
    </w:p>
    <w:p w:rsidR="00A1020E" w:rsidRPr="009A705A" w:rsidRDefault="00A1020E" w:rsidP="00C0740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A705A">
        <w:rPr>
          <w:rFonts w:ascii="Times New Roman" w:hAnsi="Times New Roman"/>
          <w:b/>
          <w:i/>
          <w:sz w:val="24"/>
          <w:szCs w:val="24"/>
          <w:u w:val="single"/>
        </w:rPr>
        <w:t>Акцизы</w:t>
      </w:r>
    </w:p>
    <w:p w:rsidR="00A1020E" w:rsidRDefault="00A1020E" w:rsidP="00C074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A705A">
        <w:rPr>
          <w:rFonts w:ascii="Times New Roman" w:hAnsi="Times New Roman"/>
          <w:sz w:val="24"/>
          <w:szCs w:val="24"/>
        </w:rPr>
        <w:tab/>
        <w:t xml:space="preserve">В соответствии со ст.58 Бюджетного кодекса Российской Федерации в  целях создания муниципальных дорожных фондов с 2014 года в доходную часть  районного бюджета поступают доходы от акцизов на нефтепродукты по дифференцированным нормативам отчислений, рассчитанным  Департаментом финансов Томской области исходя из протяженности автомобильных дорог местного значения, находящихся в собственности муниципального образования и составил </w:t>
      </w:r>
      <w:r w:rsidRPr="008E0CF7">
        <w:rPr>
          <w:rFonts w:ascii="Times New Roman" w:hAnsi="Times New Roman"/>
          <w:b/>
          <w:color w:val="000000"/>
          <w:sz w:val="24"/>
          <w:szCs w:val="24"/>
        </w:rPr>
        <w:t>2506,0</w:t>
      </w:r>
      <w:r w:rsidRPr="009A705A">
        <w:rPr>
          <w:rFonts w:ascii="Times New Roman" w:hAnsi="Times New Roman"/>
          <w:sz w:val="24"/>
          <w:szCs w:val="24"/>
        </w:rPr>
        <w:t xml:space="preserve"> тыс.руб.</w:t>
      </w:r>
    </w:p>
    <w:p w:rsidR="00A1020E" w:rsidRPr="008B7195" w:rsidRDefault="00A1020E" w:rsidP="008B7195">
      <w:pPr>
        <w:pStyle w:val="Heading3"/>
        <w:jc w:val="center"/>
        <w:rPr>
          <w:u w:val="single"/>
        </w:rPr>
      </w:pPr>
      <w:r w:rsidRPr="008B7195">
        <w:rPr>
          <w:u w:val="single"/>
        </w:rPr>
        <w:t xml:space="preserve">Налог на </w:t>
      </w:r>
      <w:r w:rsidRPr="008B7195">
        <w:rPr>
          <w:sz w:val="24"/>
          <w:szCs w:val="24"/>
          <w:u w:val="single"/>
        </w:rPr>
        <w:t>имущество</w:t>
      </w:r>
      <w:r w:rsidRPr="008B7195">
        <w:rPr>
          <w:u w:val="single"/>
        </w:rPr>
        <w:t xml:space="preserve"> физических лиц</w:t>
      </w:r>
    </w:p>
    <w:p w:rsidR="00A1020E" w:rsidRDefault="00A1020E" w:rsidP="008B7195">
      <w:pPr>
        <w:pStyle w:val="Heading3"/>
        <w:rPr>
          <w:b w:val="0"/>
          <w:i w:val="0"/>
        </w:rPr>
      </w:pPr>
    </w:p>
    <w:p w:rsidR="00A1020E" w:rsidRPr="008B7195" w:rsidRDefault="00A1020E" w:rsidP="008B7195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B7195">
        <w:rPr>
          <w:rFonts w:ascii="Times New Roman" w:hAnsi="Times New Roman"/>
          <w:sz w:val="24"/>
          <w:szCs w:val="24"/>
        </w:rPr>
        <w:t>В соответствии с Федеральным законом от 27.07.2010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 внесено изменение в статью 5 Закона Российской Федерации от 9 декабря 1991 года № 2003-1 «О налогах на имущество физических лиц»: с 1 января 2014 года уплата налога на имущество физических лиц производится не позднее 1 октября года, следующего за годом, за который исчислен налог. В 201</w:t>
      </w:r>
      <w:r>
        <w:rPr>
          <w:rFonts w:ascii="Times New Roman" w:hAnsi="Times New Roman"/>
          <w:sz w:val="24"/>
          <w:szCs w:val="24"/>
        </w:rPr>
        <w:t>6</w:t>
      </w:r>
      <w:r w:rsidRPr="008B7195">
        <w:rPr>
          <w:rFonts w:ascii="Times New Roman" w:hAnsi="Times New Roman"/>
          <w:sz w:val="24"/>
          <w:szCs w:val="24"/>
        </w:rPr>
        <w:t xml:space="preserve"> году  запланировано поступление </w:t>
      </w:r>
      <w:r w:rsidRPr="008B7195">
        <w:rPr>
          <w:rFonts w:ascii="Times New Roman" w:hAnsi="Times New Roman"/>
          <w:bCs/>
          <w:iCs/>
          <w:sz w:val="24"/>
          <w:szCs w:val="24"/>
        </w:rPr>
        <w:t xml:space="preserve">Налог на имущество физических лиц в сумме </w:t>
      </w:r>
      <w:r>
        <w:rPr>
          <w:rFonts w:ascii="Times New Roman" w:hAnsi="Times New Roman"/>
          <w:b/>
          <w:bCs/>
          <w:iCs/>
          <w:sz w:val="24"/>
          <w:szCs w:val="24"/>
        </w:rPr>
        <w:t>37,0</w:t>
      </w:r>
      <w:r w:rsidRPr="008B7195">
        <w:rPr>
          <w:rFonts w:ascii="Times New Roman" w:hAnsi="Times New Roman"/>
          <w:b/>
          <w:bCs/>
          <w:iCs/>
          <w:sz w:val="24"/>
          <w:szCs w:val="24"/>
        </w:rPr>
        <w:t xml:space="preserve"> тыс.руб.</w:t>
      </w:r>
    </w:p>
    <w:p w:rsidR="00A1020E" w:rsidRPr="002A26D3" w:rsidRDefault="00A1020E" w:rsidP="008B7195">
      <w:pPr>
        <w:pStyle w:val="BodyText3"/>
        <w:spacing w:after="0"/>
        <w:ind w:firstLine="709"/>
        <w:jc w:val="center"/>
        <w:rPr>
          <w:b/>
          <w:bCs/>
          <w:i/>
          <w:iCs/>
          <w:sz w:val="24"/>
          <w:szCs w:val="24"/>
          <w:u w:val="single"/>
        </w:rPr>
      </w:pPr>
      <w:r w:rsidRPr="002A26D3">
        <w:rPr>
          <w:b/>
          <w:bCs/>
          <w:i/>
          <w:iCs/>
          <w:sz w:val="24"/>
          <w:szCs w:val="24"/>
          <w:u w:val="single"/>
        </w:rPr>
        <w:t>Земельный налог</w:t>
      </w:r>
    </w:p>
    <w:p w:rsidR="00A1020E" w:rsidRDefault="00A1020E" w:rsidP="008B7195">
      <w:pPr>
        <w:pStyle w:val="BodyText3"/>
        <w:spacing w:after="0"/>
        <w:ind w:firstLine="709"/>
        <w:jc w:val="both"/>
        <w:rPr>
          <w:sz w:val="26"/>
          <w:szCs w:val="26"/>
        </w:rPr>
      </w:pPr>
    </w:p>
    <w:p w:rsidR="00A1020E" w:rsidRPr="002A26D3" w:rsidRDefault="00A1020E" w:rsidP="009C1160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2A26D3">
        <w:rPr>
          <w:sz w:val="24"/>
          <w:szCs w:val="24"/>
        </w:rPr>
        <w:t>В соответствии с Бюджетным кодексом Российской Федерации  земельный налог подлежит зачислению в местные бюджеты по нормативу 100 %.</w:t>
      </w:r>
    </w:p>
    <w:p w:rsidR="00A1020E" w:rsidRPr="002A26D3" w:rsidRDefault="00A1020E" w:rsidP="009C1160">
      <w:pPr>
        <w:pStyle w:val="BodyTextIndent"/>
        <w:ind w:firstLine="709"/>
        <w:jc w:val="both"/>
        <w:rPr>
          <w:rFonts w:ascii="Times New Roman" w:hAnsi="Times New Roman"/>
          <w:sz w:val="24"/>
          <w:szCs w:val="24"/>
        </w:rPr>
      </w:pPr>
      <w:r w:rsidRPr="002A26D3">
        <w:rPr>
          <w:rFonts w:ascii="Times New Roman" w:hAnsi="Times New Roman"/>
          <w:sz w:val="24"/>
          <w:szCs w:val="24"/>
        </w:rPr>
        <w:t xml:space="preserve">Объём поступлений земельного налога спрогнозирован на 2016 год в размере </w:t>
      </w:r>
      <w:r w:rsidRPr="002A26D3">
        <w:rPr>
          <w:rFonts w:ascii="Times New Roman" w:hAnsi="Times New Roman"/>
          <w:b/>
          <w:sz w:val="24"/>
          <w:szCs w:val="24"/>
        </w:rPr>
        <w:t>208</w:t>
      </w:r>
      <w:r>
        <w:rPr>
          <w:rFonts w:ascii="Times New Roman" w:hAnsi="Times New Roman"/>
          <w:b/>
          <w:sz w:val="24"/>
          <w:szCs w:val="24"/>
        </w:rPr>
        <w:t>,0</w:t>
      </w:r>
      <w:r w:rsidRPr="002A26D3">
        <w:rPr>
          <w:rFonts w:ascii="Times New Roman" w:hAnsi="Times New Roman"/>
          <w:b/>
          <w:sz w:val="24"/>
          <w:szCs w:val="24"/>
        </w:rPr>
        <w:t>тыс. руб.</w:t>
      </w:r>
      <w:r w:rsidRPr="002A26D3">
        <w:rPr>
          <w:rFonts w:ascii="Times New Roman" w:hAnsi="Times New Roman"/>
          <w:sz w:val="24"/>
          <w:szCs w:val="24"/>
        </w:rPr>
        <w:t xml:space="preserve"> на основании  данных МРИ ФНС № 3 по Томской области о </w:t>
      </w:r>
      <w:r>
        <w:rPr>
          <w:rFonts w:ascii="Times New Roman" w:hAnsi="Times New Roman"/>
          <w:sz w:val="24"/>
          <w:szCs w:val="24"/>
        </w:rPr>
        <w:t>н</w:t>
      </w:r>
      <w:r w:rsidRPr="002A26D3">
        <w:rPr>
          <w:rFonts w:ascii="Times New Roman" w:hAnsi="Times New Roman"/>
          <w:sz w:val="24"/>
          <w:szCs w:val="24"/>
        </w:rPr>
        <w:t xml:space="preserve">ачисленных в 2015 году суммах налога. </w:t>
      </w:r>
    </w:p>
    <w:p w:rsidR="00A1020E" w:rsidRPr="009A705A" w:rsidRDefault="00A1020E" w:rsidP="00C074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A1020E" w:rsidRPr="006D37C9" w:rsidRDefault="00A1020E" w:rsidP="006D37C9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D37C9">
        <w:rPr>
          <w:rFonts w:ascii="Times New Roman" w:hAnsi="Times New Roman"/>
          <w:b/>
          <w:i/>
          <w:sz w:val="24"/>
          <w:szCs w:val="24"/>
          <w:u w:val="single"/>
        </w:rPr>
        <w:t>Доходы от использования имущества,</w:t>
      </w:r>
    </w:p>
    <w:p w:rsidR="00A1020E" w:rsidRPr="006D37C9" w:rsidRDefault="00A1020E" w:rsidP="006D37C9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D37C9">
        <w:rPr>
          <w:rFonts w:ascii="Times New Roman" w:hAnsi="Times New Roman"/>
          <w:b/>
          <w:i/>
          <w:sz w:val="24"/>
          <w:szCs w:val="24"/>
          <w:u w:val="single"/>
        </w:rPr>
        <w:t>находящегося в государственной и муниципальной собственности</w:t>
      </w:r>
    </w:p>
    <w:p w:rsidR="00A1020E" w:rsidRDefault="00A1020E" w:rsidP="006D37C9">
      <w:pPr>
        <w:spacing w:after="0"/>
        <w:jc w:val="both"/>
      </w:pPr>
    </w:p>
    <w:p w:rsidR="00A1020E" w:rsidRPr="00F82164" w:rsidRDefault="00A1020E" w:rsidP="00C07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2164">
        <w:rPr>
          <w:rFonts w:ascii="Times New Roman" w:hAnsi="Times New Roman"/>
          <w:sz w:val="24"/>
          <w:szCs w:val="24"/>
        </w:rPr>
        <w:t xml:space="preserve">Объем поступлений доходов от использования имущества, находящегося в государственной и муниципальной собственности в бюджете муниципального района прогнозируется на 2016 год в сумме  </w:t>
      </w:r>
      <w:r w:rsidRPr="009C1160">
        <w:rPr>
          <w:rFonts w:ascii="Times New Roman" w:hAnsi="Times New Roman"/>
          <w:b/>
          <w:sz w:val="24"/>
          <w:szCs w:val="24"/>
        </w:rPr>
        <w:t>152,0</w:t>
      </w:r>
      <w:r w:rsidRPr="00F82164">
        <w:rPr>
          <w:rFonts w:ascii="Times New Roman" w:hAnsi="Times New Roman"/>
          <w:sz w:val="24"/>
          <w:szCs w:val="24"/>
        </w:rPr>
        <w:t xml:space="preserve"> тыс.руб.</w:t>
      </w:r>
    </w:p>
    <w:p w:rsidR="00A1020E" w:rsidRPr="00F82164" w:rsidRDefault="00A1020E" w:rsidP="00C07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2164">
        <w:rPr>
          <w:rFonts w:ascii="Times New Roman" w:hAnsi="Times New Roman"/>
          <w:sz w:val="24"/>
          <w:szCs w:val="24"/>
        </w:rPr>
        <w:t>Основными источниками доходов, входящими в состав раздела «Доходы от использования имущества, находящегося в государственной и муниципальной собственности» являются:</w:t>
      </w:r>
    </w:p>
    <w:p w:rsidR="00A1020E" w:rsidRDefault="00A1020E" w:rsidP="00C0740B">
      <w:pPr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 w:rsidRPr="003766ED">
        <w:rPr>
          <w:rFonts w:ascii="Times New Roman" w:hAnsi="Times New Roman"/>
          <w:sz w:val="24"/>
          <w:szCs w:val="24"/>
        </w:rPr>
        <w:t xml:space="preserve">- </w:t>
      </w:r>
      <w:r w:rsidRPr="003766ED">
        <w:rPr>
          <w:rFonts w:ascii="Times New Roman" w:hAnsi="Times New Roman"/>
          <w:b/>
          <w:sz w:val="24"/>
          <w:szCs w:val="24"/>
        </w:rPr>
        <w:t>доходы от сдачи в аренду муниципального имущества:</w:t>
      </w:r>
    </w:p>
    <w:p w:rsidR="00A1020E" w:rsidRPr="0034592B" w:rsidRDefault="00A1020E" w:rsidP="003459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592B">
        <w:rPr>
          <w:rFonts w:ascii="Times New Roman" w:hAnsi="Times New Roman"/>
          <w:bCs/>
          <w:sz w:val="24"/>
          <w:szCs w:val="24"/>
        </w:rPr>
        <w:t>доходы от сдачи в аренду имущества, находящимся в оперативном управлении органов местного самоуправления (за исключением имущества бюджетных и автономных учреждений) поступают в бюджет по нормативу 100 %</w:t>
      </w:r>
    </w:p>
    <w:p w:rsidR="00A1020E" w:rsidRPr="003766ED" w:rsidRDefault="00A1020E" w:rsidP="00C0740B">
      <w:pPr>
        <w:jc w:val="both"/>
        <w:rPr>
          <w:rFonts w:ascii="Times New Roman" w:hAnsi="Times New Roman"/>
          <w:sz w:val="24"/>
          <w:szCs w:val="24"/>
        </w:rPr>
      </w:pPr>
      <w:r w:rsidRPr="003766ED">
        <w:rPr>
          <w:rFonts w:ascii="Times New Roman" w:hAnsi="Times New Roman"/>
          <w:sz w:val="24"/>
          <w:szCs w:val="24"/>
        </w:rPr>
        <w:t xml:space="preserve"> расчет произведен исходя из действующих по состоянию на 01.07.2015 года договоров аренды, Объем арендных платежей на 2016 год спрогнозирован в сумме </w:t>
      </w:r>
      <w:r w:rsidRPr="009C1160">
        <w:rPr>
          <w:rFonts w:ascii="Times New Roman" w:hAnsi="Times New Roman"/>
          <w:b/>
          <w:sz w:val="24"/>
          <w:szCs w:val="24"/>
        </w:rPr>
        <w:t>108,0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66ED">
        <w:rPr>
          <w:rFonts w:ascii="Times New Roman" w:hAnsi="Times New Roman"/>
          <w:sz w:val="24"/>
          <w:szCs w:val="24"/>
        </w:rPr>
        <w:t>тыс.руб..Расчетные данные приводятся в таблице:</w:t>
      </w:r>
    </w:p>
    <w:p w:rsidR="00A1020E" w:rsidRPr="006F0476" w:rsidRDefault="00A1020E" w:rsidP="00467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476">
        <w:rPr>
          <w:rFonts w:ascii="Times New Roman" w:hAnsi="Times New Roman"/>
          <w:b/>
          <w:sz w:val="24"/>
          <w:szCs w:val="24"/>
        </w:rPr>
        <w:t>Арендные платежи за муниципальное имущество в 2016 г.</w:t>
      </w:r>
    </w:p>
    <w:p w:rsidR="00A1020E" w:rsidRPr="006F0476" w:rsidRDefault="00A1020E" w:rsidP="004670B1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F0476">
        <w:rPr>
          <w:rFonts w:ascii="Times New Roman" w:hAnsi="Times New Roman"/>
          <w:b/>
          <w:i/>
          <w:sz w:val="24"/>
          <w:szCs w:val="24"/>
          <w:u w:val="single"/>
        </w:rPr>
        <w:t>Красноярское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801"/>
        <w:gridCol w:w="1275"/>
        <w:gridCol w:w="993"/>
        <w:gridCol w:w="1417"/>
        <w:gridCol w:w="1276"/>
        <w:gridCol w:w="2375"/>
      </w:tblGrid>
      <w:tr w:rsidR="00A1020E" w:rsidRPr="00E754F2" w:rsidTr="00E754F2">
        <w:tc>
          <w:tcPr>
            <w:tcW w:w="434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1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Наименование арендатора</w:t>
            </w:r>
          </w:p>
        </w:tc>
        <w:tc>
          <w:tcPr>
            <w:tcW w:w="12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№ договора</w:t>
            </w:r>
          </w:p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 xml:space="preserve"> Сумма арендных платежей в месяц</w:t>
            </w: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Количество месяцев аренды</w:t>
            </w:r>
          </w:p>
        </w:tc>
        <w:tc>
          <w:tcPr>
            <w:tcW w:w="1276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Сумма арендных платежей в год</w:t>
            </w:r>
          </w:p>
        </w:tc>
        <w:tc>
          <w:tcPr>
            <w:tcW w:w="23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1020E" w:rsidRPr="00E754F2" w:rsidTr="00E754F2">
        <w:tc>
          <w:tcPr>
            <w:tcW w:w="434" w:type="dxa"/>
            <w:vMerge w:val="restart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Merge w:val="restart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ООО ЗПК «СибЛесТрейд»</w:t>
            </w:r>
          </w:p>
        </w:tc>
        <w:tc>
          <w:tcPr>
            <w:tcW w:w="12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№ 5 от 07.11.2011</w:t>
            </w:r>
          </w:p>
        </w:tc>
        <w:tc>
          <w:tcPr>
            <w:tcW w:w="993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12150,00</w:t>
            </w:r>
          </w:p>
        </w:tc>
        <w:tc>
          <w:tcPr>
            <w:tcW w:w="23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Аренда имущества до 07.11.2016г. (фиксированная ставка)</w:t>
            </w:r>
          </w:p>
        </w:tc>
      </w:tr>
      <w:tr w:rsidR="00A1020E" w:rsidRPr="00E754F2" w:rsidTr="00E754F2">
        <w:tc>
          <w:tcPr>
            <w:tcW w:w="434" w:type="dxa"/>
            <w:vMerge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№ 1 от 20.09.2011</w:t>
            </w:r>
          </w:p>
        </w:tc>
        <w:tc>
          <w:tcPr>
            <w:tcW w:w="993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15900,00</w:t>
            </w:r>
          </w:p>
        </w:tc>
        <w:tc>
          <w:tcPr>
            <w:tcW w:w="23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Аренда имущества до 07.11.2016г. (фиксированная ставка)</w:t>
            </w:r>
          </w:p>
        </w:tc>
      </w:tr>
      <w:tr w:rsidR="00A1020E" w:rsidRPr="00E754F2" w:rsidTr="00E754F2">
        <w:tc>
          <w:tcPr>
            <w:tcW w:w="434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ОАО «ТРК»</w:t>
            </w:r>
          </w:p>
        </w:tc>
        <w:tc>
          <w:tcPr>
            <w:tcW w:w="12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 xml:space="preserve">№ 8 от 15.07.2013 </w:t>
            </w:r>
          </w:p>
        </w:tc>
        <w:tc>
          <w:tcPr>
            <w:tcW w:w="993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5316,75</w:t>
            </w: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63801,0</w:t>
            </w:r>
          </w:p>
        </w:tc>
        <w:tc>
          <w:tcPr>
            <w:tcW w:w="23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Аренда имущества до (фиксированная ставка)</w:t>
            </w:r>
          </w:p>
        </w:tc>
      </w:tr>
      <w:tr w:rsidR="00A1020E" w:rsidRPr="00E754F2" w:rsidTr="00E754F2">
        <w:tc>
          <w:tcPr>
            <w:tcW w:w="434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ИП ТРУС</w:t>
            </w:r>
          </w:p>
        </w:tc>
        <w:tc>
          <w:tcPr>
            <w:tcW w:w="12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№ 7 от 15.07.2013</w:t>
            </w:r>
          </w:p>
        </w:tc>
        <w:tc>
          <w:tcPr>
            <w:tcW w:w="993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2434,02</w:t>
            </w: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14604,12</w:t>
            </w:r>
          </w:p>
        </w:tc>
        <w:tc>
          <w:tcPr>
            <w:tcW w:w="23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Аренда имущества до (фиксированная ставка)</w:t>
            </w:r>
          </w:p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F2">
              <w:rPr>
                <w:rFonts w:ascii="Times New Roman" w:hAnsi="Times New Roman"/>
                <w:sz w:val="20"/>
                <w:szCs w:val="20"/>
              </w:rPr>
              <w:t>До 16.07.2016</w:t>
            </w:r>
          </w:p>
        </w:tc>
      </w:tr>
      <w:tr w:rsidR="00A1020E" w:rsidRPr="00E754F2" w:rsidTr="00E754F2">
        <w:tc>
          <w:tcPr>
            <w:tcW w:w="434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4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4F2">
              <w:rPr>
                <w:rFonts w:ascii="Times New Roman" w:hAnsi="Times New Roman"/>
                <w:b/>
                <w:sz w:val="20"/>
                <w:szCs w:val="20"/>
              </w:rPr>
              <w:t>106455,12</w:t>
            </w:r>
          </w:p>
        </w:tc>
        <w:tc>
          <w:tcPr>
            <w:tcW w:w="237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20E" w:rsidRDefault="00A1020E" w:rsidP="00C0740B">
      <w:pPr>
        <w:jc w:val="both"/>
      </w:pPr>
      <w:r>
        <w:tab/>
      </w:r>
    </w:p>
    <w:p w:rsidR="00A1020E" w:rsidRDefault="00A1020E" w:rsidP="0034592B">
      <w:pPr>
        <w:pStyle w:val="BodyText3"/>
        <w:numPr>
          <w:ilvl w:val="0"/>
          <w:numId w:val="1"/>
        </w:numPr>
        <w:jc w:val="both"/>
        <w:rPr>
          <w:bCs/>
          <w:iCs/>
          <w:sz w:val="26"/>
        </w:rPr>
      </w:pPr>
      <w:r>
        <w:rPr>
          <w:bCs/>
          <w:iCs/>
          <w:sz w:val="26"/>
        </w:rPr>
        <w:t xml:space="preserve">доходы от платы за найм жилых помещений спрогнозированы на 2016 год в сумме </w:t>
      </w:r>
      <w:r w:rsidRPr="009C1160">
        <w:rPr>
          <w:b/>
          <w:bCs/>
          <w:iCs/>
          <w:sz w:val="26"/>
        </w:rPr>
        <w:t>44,0</w:t>
      </w:r>
      <w:r>
        <w:rPr>
          <w:bCs/>
          <w:iCs/>
          <w:sz w:val="26"/>
        </w:rPr>
        <w:t xml:space="preserve"> тыс. руб.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1985"/>
        <w:gridCol w:w="1701"/>
        <w:gridCol w:w="1984"/>
        <w:gridCol w:w="1134"/>
      </w:tblGrid>
      <w:tr w:rsidR="00A1020E" w:rsidRPr="00E754F2" w:rsidTr="00E754F2">
        <w:tc>
          <w:tcPr>
            <w:tcW w:w="1668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4F2">
              <w:rPr>
                <w:rFonts w:ascii="Times New Roman" w:hAnsi="Times New Roman"/>
              </w:rPr>
              <w:t>Площадь жилых помещений в найме</w:t>
            </w:r>
          </w:p>
        </w:tc>
        <w:tc>
          <w:tcPr>
            <w:tcW w:w="1985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4F2">
              <w:rPr>
                <w:rFonts w:ascii="Times New Roman" w:hAnsi="Times New Roman"/>
              </w:rPr>
              <w:t>Стоимость 1 кв.м</w:t>
            </w:r>
          </w:p>
        </w:tc>
        <w:tc>
          <w:tcPr>
            <w:tcW w:w="1701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4F2">
              <w:rPr>
                <w:rFonts w:ascii="Times New Roman" w:hAnsi="Times New Roman"/>
              </w:rPr>
              <w:t>Количество месяце аренды</w:t>
            </w:r>
          </w:p>
        </w:tc>
        <w:tc>
          <w:tcPr>
            <w:tcW w:w="1984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4F2">
              <w:rPr>
                <w:rFonts w:ascii="Times New Roman" w:hAnsi="Times New Roman"/>
              </w:rPr>
              <w:t>Сумма начисления</w:t>
            </w:r>
          </w:p>
        </w:tc>
        <w:tc>
          <w:tcPr>
            <w:tcW w:w="1134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4F2">
              <w:rPr>
                <w:rFonts w:ascii="Times New Roman" w:hAnsi="Times New Roman"/>
              </w:rPr>
              <w:t>примечание</w:t>
            </w:r>
          </w:p>
        </w:tc>
      </w:tr>
      <w:tr w:rsidR="00A1020E" w:rsidRPr="00E754F2" w:rsidTr="00E754F2">
        <w:tc>
          <w:tcPr>
            <w:tcW w:w="1668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4F2">
              <w:rPr>
                <w:rFonts w:ascii="Times New Roman" w:hAnsi="Times New Roman"/>
              </w:rPr>
              <w:t>2015 год</w:t>
            </w: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4F2">
              <w:rPr>
                <w:rFonts w:ascii="Times New Roman" w:hAnsi="Times New Roman"/>
              </w:rPr>
              <w:t>2984,7</w:t>
            </w:r>
          </w:p>
        </w:tc>
        <w:tc>
          <w:tcPr>
            <w:tcW w:w="1985" w:type="dxa"/>
            <w:vMerge w:val="restart"/>
          </w:tcPr>
          <w:p w:rsidR="00A1020E" w:rsidRPr="00E754F2" w:rsidRDefault="00A1020E" w:rsidP="00E754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54F2">
              <w:rPr>
                <w:rFonts w:ascii="Times New Roman" w:hAnsi="Times New Roman"/>
              </w:rPr>
              <w:t xml:space="preserve">Стоимость 1 </w:t>
            </w:r>
            <w:r w:rsidRPr="00E754F2">
              <w:rPr>
                <w:rFonts w:ascii="Times New Roman" w:hAnsi="Times New Roman"/>
                <w:sz w:val="16"/>
                <w:szCs w:val="16"/>
              </w:rPr>
              <w:t>квадратного метра установлена Решением Совета Красноярского  сельского поселения «Об утверждении Положения о механизме расчета базовой ставки платы за пользование жилым помещением (платы за наем)» от 20</w:t>
            </w:r>
            <w:r w:rsidRPr="00E754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.11.2013 № 69, Постановлением № 101 от </w:t>
            </w:r>
          </w:p>
          <w:p w:rsidR="00A1020E" w:rsidRPr="00E754F2" w:rsidRDefault="00A1020E" w:rsidP="00E75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54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04.12.2013                                                                                                                               </w:t>
            </w:r>
          </w:p>
          <w:p w:rsidR="00A1020E" w:rsidRPr="00E754F2" w:rsidRDefault="00A1020E" w:rsidP="00E75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54F2">
              <w:rPr>
                <w:rFonts w:ascii="Times New Roman" w:hAnsi="Times New Roman"/>
                <w:sz w:val="16"/>
                <w:szCs w:val="16"/>
              </w:rPr>
              <w:t xml:space="preserve">Об установлении размера  платы </w:t>
            </w:r>
          </w:p>
          <w:p w:rsidR="00A1020E" w:rsidRPr="00E754F2" w:rsidRDefault="00A1020E" w:rsidP="00E75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54F2">
              <w:rPr>
                <w:rFonts w:ascii="Times New Roman" w:hAnsi="Times New Roman"/>
                <w:sz w:val="16"/>
                <w:szCs w:val="16"/>
              </w:rPr>
              <w:t>за пользование жилым</w:t>
            </w:r>
          </w:p>
          <w:p w:rsidR="00A1020E" w:rsidRPr="00E754F2" w:rsidRDefault="00A1020E" w:rsidP="00E75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54F2">
              <w:rPr>
                <w:rFonts w:ascii="Times New Roman" w:hAnsi="Times New Roman"/>
                <w:sz w:val="16"/>
                <w:szCs w:val="16"/>
              </w:rPr>
              <w:t>помещением (платы за наем)</w:t>
            </w:r>
          </w:p>
          <w:p w:rsidR="00A1020E" w:rsidRPr="00E754F2" w:rsidRDefault="00A1020E" w:rsidP="00E754F2">
            <w:pPr>
              <w:spacing w:after="0" w:line="240" w:lineRule="auto"/>
              <w:rPr>
                <w:rFonts w:ascii="Times New Roman" w:hAnsi="Times New Roman"/>
              </w:rPr>
            </w:pPr>
            <w:r w:rsidRPr="00E754F2">
              <w:rPr>
                <w:rFonts w:ascii="Times New Roman" w:hAnsi="Times New Roman"/>
                <w:sz w:val="16"/>
                <w:szCs w:val="16"/>
              </w:rPr>
              <w:t>в Красноярском сельском поселении</w:t>
            </w:r>
          </w:p>
        </w:tc>
        <w:tc>
          <w:tcPr>
            <w:tcW w:w="1701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4F2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4F2">
              <w:rPr>
                <w:rFonts w:ascii="Times New Roman" w:hAnsi="Times New Roman"/>
              </w:rPr>
              <w:t>47385,12</w:t>
            </w:r>
          </w:p>
        </w:tc>
        <w:tc>
          <w:tcPr>
            <w:tcW w:w="1134" w:type="dxa"/>
            <w:vMerge w:val="restart"/>
          </w:tcPr>
          <w:p w:rsidR="00A1020E" w:rsidRPr="00E754F2" w:rsidRDefault="00A1020E" w:rsidP="00E754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54F2">
              <w:rPr>
                <w:rFonts w:ascii="Times New Roman" w:hAnsi="Times New Roman"/>
                <w:sz w:val="16"/>
                <w:szCs w:val="16"/>
              </w:rPr>
              <w:t xml:space="preserve">*площадь жилых помещений на ходящихся в муниципальной собственности изменяется в связи с приватизацией  населением , изношенность и ветхость жилищного фонда </w:t>
            </w:r>
          </w:p>
          <w:p w:rsidR="00A1020E" w:rsidRPr="00E754F2" w:rsidRDefault="00A1020E" w:rsidP="00E754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20E" w:rsidRPr="00E754F2" w:rsidTr="00E754F2">
        <w:tc>
          <w:tcPr>
            <w:tcW w:w="1668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2820,1</w:t>
            </w:r>
          </w:p>
        </w:tc>
        <w:tc>
          <w:tcPr>
            <w:tcW w:w="1985" w:type="dxa"/>
            <w:vMerge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44772,0</w:t>
            </w:r>
          </w:p>
        </w:tc>
        <w:tc>
          <w:tcPr>
            <w:tcW w:w="1134" w:type="dxa"/>
            <w:vMerge/>
          </w:tcPr>
          <w:p w:rsidR="00A1020E" w:rsidRPr="00E754F2" w:rsidRDefault="00A1020E" w:rsidP="00E75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20E" w:rsidRPr="00E754F2" w:rsidTr="00E754F2">
        <w:tc>
          <w:tcPr>
            <w:tcW w:w="1668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985" w:type="dxa"/>
            <w:vMerge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44453,0</w:t>
            </w:r>
          </w:p>
        </w:tc>
        <w:tc>
          <w:tcPr>
            <w:tcW w:w="1134" w:type="dxa"/>
            <w:vMerge/>
          </w:tcPr>
          <w:p w:rsidR="00A1020E" w:rsidRPr="00E754F2" w:rsidRDefault="00A1020E" w:rsidP="00E75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20E" w:rsidRPr="00E754F2" w:rsidTr="00E754F2">
        <w:tc>
          <w:tcPr>
            <w:tcW w:w="1668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985" w:type="dxa"/>
            <w:vMerge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1020E" w:rsidRPr="00E754F2" w:rsidRDefault="00A1020E" w:rsidP="00E7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44453,0</w:t>
            </w:r>
          </w:p>
        </w:tc>
        <w:tc>
          <w:tcPr>
            <w:tcW w:w="1134" w:type="dxa"/>
            <w:vMerge/>
          </w:tcPr>
          <w:p w:rsidR="00A1020E" w:rsidRPr="00E754F2" w:rsidRDefault="00A1020E" w:rsidP="00E75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20E" w:rsidRDefault="00A1020E" w:rsidP="0034592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4592B">
        <w:rPr>
          <w:rFonts w:ascii="Times New Roman" w:hAnsi="Times New Roman"/>
          <w:b/>
          <w:i/>
          <w:sz w:val="24"/>
          <w:szCs w:val="24"/>
          <w:u w:val="single"/>
        </w:rPr>
        <w:t xml:space="preserve">Примечание: </w:t>
      </w:r>
      <w:r w:rsidRPr="0034592B">
        <w:rPr>
          <w:rFonts w:ascii="Times New Roman" w:hAnsi="Times New Roman"/>
          <w:sz w:val="24"/>
          <w:szCs w:val="24"/>
        </w:rPr>
        <w:t>Уменьшение площади за которую производится квартплата уменьшилась на 713,3 от плановых на 2015 год, в связи с приватизацией жилья, а также с ветхим состоянием жилого фонда. В связи с этим уменьшилась сумма ожидаемых поступлений за найм жилья.</w:t>
      </w:r>
    </w:p>
    <w:p w:rsidR="00A1020E" w:rsidRPr="00A35C5A" w:rsidRDefault="00A1020E" w:rsidP="00A35C5A">
      <w:pPr>
        <w:pStyle w:val="BodyText2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35C5A">
        <w:rPr>
          <w:rFonts w:ascii="Times New Roman" w:hAnsi="Times New Roman"/>
          <w:b/>
          <w:bCs/>
          <w:i/>
          <w:sz w:val="24"/>
          <w:szCs w:val="24"/>
          <w:u w:val="single"/>
        </w:rPr>
        <w:t>Безвозмездные поступления</w:t>
      </w:r>
    </w:p>
    <w:p w:rsidR="00A1020E" w:rsidRPr="00A35C5A" w:rsidRDefault="00A1020E" w:rsidP="00A35C5A">
      <w:pPr>
        <w:pStyle w:val="BodyText2"/>
        <w:spacing w:line="276" w:lineRule="auto"/>
        <w:ind w:right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A35C5A">
        <w:rPr>
          <w:rFonts w:ascii="Times New Roman" w:hAnsi="Times New Roman"/>
          <w:sz w:val="24"/>
          <w:szCs w:val="24"/>
        </w:rPr>
        <w:t xml:space="preserve">В 2015 году дотация муниципальному образованию Красноярское сельское поселение на выравнивание уровня бюджетной обеспеченности составит –  </w:t>
      </w:r>
      <w:r>
        <w:rPr>
          <w:rFonts w:ascii="Times New Roman" w:hAnsi="Times New Roman"/>
          <w:sz w:val="24"/>
          <w:szCs w:val="24"/>
        </w:rPr>
        <w:t>4381,2 тыс. руб.. что составляет 90% от бюджетных назначений 2015года.</w:t>
      </w:r>
    </w:p>
    <w:p w:rsidR="00A1020E" w:rsidRPr="007E7590" w:rsidRDefault="00A1020E" w:rsidP="00A35C5A">
      <w:pPr>
        <w:pStyle w:val="BodyText2"/>
        <w:jc w:val="center"/>
        <w:rPr>
          <w:rFonts w:ascii="Times New Roman" w:hAnsi="Times New Roman"/>
          <w:sz w:val="24"/>
          <w:szCs w:val="24"/>
        </w:rPr>
      </w:pPr>
      <w:r w:rsidRPr="007E7590">
        <w:rPr>
          <w:rFonts w:ascii="Times New Roman" w:hAnsi="Times New Roman"/>
          <w:sz w:val="24"/>
          <w:szCs w:val="24"/>
        </w:rPr>
        <w:t>Структуру бюджета Красноярского сельского поселения можно представить графически:</w:t>
      </w:r>
    </w:p>
    <w:p w:rsidR="00A1020E" w:rsidRPr="007E7590" w:rsidRDefault="00A1020E" w:rsidP="007E759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40320">
        <w:rPr>
          <w:noProof/>
        </w:rPr>
        <w:object w:dxaOrig="4896" w:dyaOrig="2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21.5pt;height:221.25pt;visibility:visible" o:ole="">
            <v:imagedata r:id="rId5" o:title="" croptop="-22130f" cropbottom="-38201f" cropleft="-17093f" cropright="-30238f"/>
            <o:lock v:ext="edit" aspectratio="f"/>
          </v:shape>
          <o:OLEObject Type="Embed" ProgID="Excel.Chart.8" ShapeID="Объект 1" DrawAspect="Content" ObjectID="_1509276613" r:id="rId6"/>
        </w:object>
      </w:r>
      <w:r w:rsidRPr="00024EAB">
        <w:rPr>
          <w:b/>
          <w:sz w:val="28"/>
          <w:szCs w:val="28"/>
        </w:rPr>
        <w:t xml:space="preserve">                                      </w:t>
      </w:r>
    </w:p>
    <w:p w:rsidR="00A1020E" w:rsidRDefault="00A1020E" w:rsidP="00C0740B">
      <w:pPr>
        <w:ind w:firstLine="708"/>
        <w:rPr>
          <w:b/>
          <w:sz w:val="28"/>
          <w:szCs w:val="28"/>
        </w:rPr>
      </w:pPr>
      <w:r w:rsidRPr="00024EA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Сравнительный анализ поступления доходов приведен в таблице</w:t>
      </w:r>
    </w:p>
    <w:tbl>
      <w:tblPr>
        <w:tblW w:w="10812" w:type="dxa"/>
        <w:tblInd w:w="-781" w:type="dxa"/>
        <w:tblLayout w:type="fixed"/>
        <w:tblLook w:val="00A0"/>
      </w:tblPr>
      <w:tblGrid>
        <w:gridCol w:w="1447"/>
        <w:gridCol w:w="2561"/>
        <w:gridCol w:w="850"/>
        <w:gridCol w:w="1134"/>
        <w:gridCol w:w="993"/>
        <w:gridCol w:w="1275"/>
        <w:gridCol w:w="993"/>
        <w:gridCol w:w="1559"/>
      </w:tblGrid>
      <w:tr w:rsidR="00A1020E" w:rsidRPr="00E754F2" w:rsidTr="007C496D">
        <w:trPr>
          <w:trHeight w:val="7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7E8B">
              <w:rPr>
                <w:rFonts w:ascii="Times New Roman" w:hAnsi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7E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План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Ожидаемое 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План 2016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План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1020E" w:rsidRPr="00E754F2" w:rsidTr="007C496D">
        <w:trPr>
          <w:trHeight w:val="300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20E" w:rsidRPr="00E754F2" w:rsidTr="007C496D">
        <w:trPr>
          <w:trHeight w:val="3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F7E8B">
              <w:rPr>
                <w:rFonts w:ascii="Times New Roman" w:hAnsi="Times New Roman"/>
                <w:sz w:val="12"/>
                <w:szCs w:val="12"/>
              </w:rPr>
              <w:t>10102000010000100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</w:t>
            </w:r>
            <w:r w:rsidRPr="007F7E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20E" w:rsidRPr="00E754F2" w:rsidTr="007C496D">
        <w:trPr>
          <w:trHeight w:val="28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F7E8B">
              <w:rPr>
                <w:rFonts w:ascii="Times New Roman" w:hAnsi="Times New Roman"/>
                <w:sz w:val="12"/>
                <w:szCs w:val="12"/>
              </w:rPr>
              <w:t>10302000010000110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20E" w:rsidRPr="00E754F2" w:rsidTr="007C496D">
        <w:trPr>
          <w:trHeight w:val="3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F7E8B">
              <w:rPr>
                <w:rFonts w:ascii="Times New Roman" w:hAnsi="Times New Roman"/>
                <w:sz w:val="12"/>
                <w:szCs w:val="12"/>
              </w:rPr>
              <w:t>10601000000000110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Pr="007F7E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20E" w:rsidRPr="00E754F2" w:rsidTr="007C496D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F7E8B">
              <w:rPr>
                <w:rFonts w:ascii="Times New Roman" w:hAnsi="Times New Roman"/>
                <w:sz w:val="12"/>
                <w:szCs w:val="12"/>
              </w:rPr>
              <w:t>10606000000000110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20E" w:rsidRPr="00E754F2" w:rsidTr="007C496D">
        <w:trPr>
          <w:trHeight w:val="300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7F7E8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  <w:r w:rsidRPr="007F7E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20E" w:rsidRPr="00E754F2" w:rsidTr="007C496D">
        <w:trPr>
          <w:trHeight w:val="7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F7E8B">
              <w:rPr>
                <w:rFonts w:ascii="Times New Roman" w:hAnsi="Times New Roman"/>
                <w:sz w:val="12"/>
                <w:szCs w:val="12"/>
              </w:rPr>
              <w:t>11105030000000120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местного самоуправления 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</w:t>
            </w:r>
            <w:r w:rsidRPr="007F7E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020E" w:rsidRPr="00382A6E" w:rsidRDefault="00A1020E" w:rsidP="009C1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доходов в связи с расторжением договоров аренды (списание здания по причине пожароа)</w:t>
            </w:r>
          </w:p>
        </w:tc>
      </w:tr>
      <w:tr w:rsidR="00A1020E" w:rsidRPr="00E754F2" w:rsidTr="007C496D">
        <w:trPr>
          <w:trHeight w:val="28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F7E8B">
              <w:rPr>
                <w:rFonts w:ascii="Times New Roman" w:hAnsi="Times New Roman"/>
                <w:sz w:val="12"/>
                <w:szCs w:val="12"/>
              </w:rPr>
              <w:t>11109000000000120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использования имущества и прав,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20E" w:rsidRPr="00E754F2" w:rsidTr="007C496D">
        <w:trPr>
          <w:trHeight w:val="2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F7E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7F7E8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плата за наем жилых помещений муниципального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Pr="007F7E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плата за сет приватизации жилья, увеличение ветхова жилья(переселение жителей в собственные жилые помещения</w:t>
            </w:r>
          </w:p>
        </w:tc>
      </w:tr>
      <w:tr w:rsidR="00A1020E" w:rsidRPr="00E754F2" w:rsidTr="007C496D">
        <w:trPr>
          <w:trHeight w:val="38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11705050100000180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Прочие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F7E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20E" w:rsidRPr="00E754F2" w:rsidTr="007C496D">
        <w:trPr>
          <w:trHeight w:val="38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5B1A15" w:rsidRDefault="00A1020E" w:rsidP="009C116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5B1A15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5B1A15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1A15">
              <w:rPr>
                <w:rFonts w:ascii="Times New Roman" w:hAnsi="Times New Roman"/>
                <w:b/>
                <w:sz w:val="16"/>
                <w:szCs w:val="16"/>
              </w:rPr>
              <w:t>2829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5B1A15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5B1A15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5B1A15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5B1A15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5B1A15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020E" w:rsidRPr="00E754F2" w:rsidTr="007C496D">
        <w:trPr>
          <w:trHeight w:val="38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20201001100000151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Дотации бюджетам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4868(90%=4381,2)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7F7E8B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 формировании расходной части МБ дотация бралась в расчете </w:t>
            </w:r>
          </w:p>
        </w:tc>
      </w:tr>
      <w:tr w:rsidR="00A1020E" w:rsidRPr="00E754F2" w:rsidTr="007C496D">
        <w:trPr>
          <w:trHeight w:val="38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20E" w:rsidRDefault="00A1020E" w:rsidP="009C11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DE195C" w:rsidRDefault="00A1020E" w:rsidP="009C11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E195C"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DE195C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020E" w:rsidRPr="00DE195C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DE195C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DE195C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DE195C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DE195C" w:rsidRDefault="00A1020E" w:rsidP="009C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1020E" w:rsidRDefault="00A1020E" w:rsidP="00155707">
      <w:pPr>
        <w:ind w:firstLine="708"/>
        <w:jc w:val="center"/>
        <w:rPr>
          <w:b/>
          <w:i/>
          <w:sz w:val="28"/>
          <w:szCs w:val="28"/>
        </w:rPr>
      </w:pPr>
    </w:p>
    <w:p w:rsidR="00A1020E" w:rsidRPr="00EC4B68" w:rsidRDefault="00A1020E" w:rsidP="00155707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EC4B68">
        <w:rPr>
          <w:rFonts w:ascii="Times New Roman" w:hAnsi="Times New Roman"/>
          <w:b/>
          <w:i/>
          <w:sz w:val="24"/>
          <w:szCs w:val="24"/>
        </w:rPr>
        <w:t>Расходы.</w:t>
      </w:r>
    </w:p>
    <w:p w:rsidR="00A1020E" w:rsidRPr="00024EAB" w:rsidRDefault="00A1020E" w:rsidP="00155707">
      <w:pPr>
        <w:keepNext/>
        <w:tabs>
          <w:tab w:val="left" w:pos="1980"/>
        </w:tabs>
        <w:jc w:val="center"/>
        <w:outlineLvl w:val="0"/>
      </w:pPr>
      <w:r w:rsidRPr="00EC4B68">
        <w:rPr>
          <w:rFonts w:ascii="Times New Roman" w:hAnsi="Times New Roman"/>
          <w:b/>
          <w:bCs/>
          <w:i/>
          <w:sz w:val="24"/>
          <w:szCs w:val="24"/>
        </w:rPr>
        <w:t>Особенности формирования расходов местного бюджета на 2016 год</w:t>
      </w:r>
      <w:r>
        <w:rPr>
          <w:b/>
          <w:bCs/>
          <w:i/>
          <w:sz w:val="28"/>
          <w:szCs w:val="28"/>
        </w:rPr>
        <w:t>.</w:t>
      </w:r>
    </w:p>
    <w:p w:rsidR="00A1020E" w:rsidRPr="005A562B" w:rsidRDefault="00A1020E" w:rsidP="005A5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>Проект бюджета муниципального образования Красноярское сельское поселение на 2016 год сформирован исходя из общего объема собственных доходов (</w:t>
      </w:r>
      <w:r>
        <w:rPr>
          <w:rFonts w:ascii="Times New Roman" w:hAnsi="Times New Roman"/>
          <w:sz w:val="24"/>
          <w:szCs w:val="24"/>
        </w:rPr>
        <w:t>152,0</w:t>
      </w:r>
      <w:r w:rsidRPr="005A562B">
        <w:rPr>
          <w:rFonts w:ascii="Times New Roman" w:hAnsi="Times New Roman"/>
          <w:sz w:val="24"/>
          <w:szCs w:val="24"/>
        </w:rPr>
        <w:t xml:space="preserve"> тыс. руб.), </w:t>
      </w:r>
      <w:r>
        <w:rPr>
          <w:rFonts w:ascii="Times New Roman" w:hAnsi="Times New Roman"/>
          <w:sz w:val="24"/>
          <w:szCs w:val="24"/>
        </w:rPr>
        <w:t xml:space="preserve">налоговых доходов (3447,0тыс.руб), </w:t>
      </w:r>
      <w:r w:rsidRPr="005A562B">
        <w:rPr>
          <w:rFonts w:ascii="Times New Roman" w:hAnsi="Times New Roman"/>
          <w:sz w:val="24"/>
          <w:szCs w:val="24"/>
        </w:rPr>
        <w:t>дотации (</w:t>
      </w:r>
      <w:r>
        <w:rPr>
          <w:rFonts w:ascii="Times New Roman" w:hAnsi="Times New Roman"/>
          <w:sz w:val="24"/>
          <w:szCs w:val="24"/>
        </w:rPr>
        <w:t xml:space="preserve">4381,2 </w:t>
      </w:r>
      <w:r w:rsidRPr="005A562B">
        <w:rPr>
          <w:rFonts w:ascii="Times New Roman" w:hAnsi="Times New Roman"/>
          <w:sz w:val="24"/>
          <w:szCs w:val="24"/>
        </w:rPr>
        <w:t>тыс. руб.). расходы бюджета поселения предусмотрены раздельно по действующим и принимаемым расходным обязательствам.</w:t>
      </w:r>
    </w:p>
    <w:p w:rsidR="00A1020E" w:rsidRPr="005A562B" w:rsidRDefault="00A1020E" w:rsidP="005A562B">
      <w:pPr>
        <w:pStyle w:val="BodyText"/>
        <w:spacing w:line="276" w:lineRule="auto"/>
        <w:ind w:firstLine="709"/>
        <w:rPr>
          <w:b/>
          <w:bCs/>
        </w:rPr>
      </w:pPr>
      <w:r w:rsidRPr="005A562B">
        <w:rPr>
          <w:b/>
          <w:bCs/>
        </w:rPr>
        <w:t>За базу для формирования объемов действующих расходных  обязательств были приняты плановые  показатели местного бюджета на 201</w:t>
      </w:r>
      <w:r>
        <w:rPr>
          <w:b/>
          <w:bCs/>
        </w:rPr>
        <w:t>5</w:t>
      </w:r>
      <w:r w:rsidRPr="005A562B">
        <w:rPr>
          <w:b/>
          <w:bCs/>
        </w:rPr>
        <w:t xml:space="preserve"> год </w:t>
      </w:r>
      <w:r w:rsidRPr="005A562B">
        <w:rPr>
          <w:b/>
          <w:bCs/>
          <w:spacing w:val="-3"/>
        </w:rPr>
        <w:t xml:space="preserve"> с </w:t>
      </w:r>
      <w:r w:rsidRPr="005A562B">
        <w:rPr>
          <w:b/>
          <w:bCs/>
          <w:spacing w:val="-5"/>
        </w:rPr>
        <w:t>учетом</w:t>
      </w:r>
      <w:r w:rsidRPr="005A562B">
        <w:rPr>
          <w:b/>
          <w:bCs/>
          <w:spacing w:val="-9"/>
        </w:rPr>
        <w:t xml:space="preserve">  их корректировки на сумму </w:t>
      </w:r>
      <w:r w:rsidRPr="005A562B">
        <w:rPr>
          <w:b/>
          <w:bCs/>
          <w:color w:val="000000"/>
          <w:spacing w:val="-6"/>
        </w:rPr>
        <w:t xml:space="preserve">расходов, производимых в соответствии с </w:t>
      </w:r>
      <w:r w:rsidRPr="005A562B">
        <w:rPr>
          <w:b/>
          <w:bCs/>
          <w:color w:val="000000"/>
          <w:spacing w:val="-9"/>
        </w:rPr>
        <w:t xml:space="preserve">разовыми решениями о финансировании из районного  бюджета или </w:t>
      </w:r>
      <w:r w:rsidRPr="005A562B">
        <w:rPr>
          <w:b/>
          <w:bCs/>
        </w:rPr>
        <w:t xml:space="preserve">расходов по реализации решений, срок действия которых ограничен рамками 2015 года. </w:t>
      </w:r>
    </w:p>
    <w:p w:rsidR="00A1020E" w:rsidRPr="005A562B" w:rsidRDefault="00A1020E" w:rsidP="005A562B">
      <w:pPr>
        <w:pStyle w:val="NormalANX"/>
        <w:spacing w:before="0" w:after="0" w:line="276" w:lineRule="auto"/>
        <w:ind w:firstLine="709"/>
        <w:rPr>
          <w:sz w:val="24"/>
          <w:szCs w:val="24"/>
        </w:rPr>
      </w:pPr>
      <w:r w:rsidRPr="005A562B">
        <w:rPr>
          <w:sz w:val="24"/>
          <w:szCs w:val="24"/>
        </w:rPr>
        <w:t xml:space="preserve">Фонд оплаты труда  сотрудников администрации запланирован  </w:t>
      </w:r>
      <w:r>
        <w:rPr>
          <w:sz w:val="24"/>
          <w:szCs w:val="24"/>
        </w:rPr>
        <w:t xml:space="preserve">на уровне 2015 года, с корректировкой </w:t>
      </w:r>
      <w:r w:rsidRPr="005A562B">
        <w:rPr>
          <w:sz w:val="24"/>
          <w:szCs w:val="24"/>
        </w:rPr>
        <w:t xml:space="preserve"> по НСОТ с учетом </w:t>
      </w:r>
      <w:r w:rsidRPr="005F1946">
        <w:rPr>
          <w:color w:val="000000"/>
          <w:sz w:val="24"/>
          <w:szCs w:val="24"/>
        </w:rPr>
        <w:t>МРОТ 6675,0 руб</w:t>
      </w:r>
      <w:r w:rsidRPr="005A562B">
        <w:rPr>
          <w:sz w:val="24"/>
          <w:szCs w:val="24"/>
        </w:rPr>
        <w:t>* на северный и районный коэффициент (1,8).</w:t>
      </w:r>
    </w:p>
    <w:p w:rsidR="00A1020E" w:rsidRPr="005A562B" w:rsidRDefault="00A1020E" w:rsidP="005A5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 xml:space="preserve">Численность работников органов местного самоуправления на </w:t>
      </w:r>
      <w:r>
        <w:rPr>
          <w:rFonts w:ascii="Times New Roman" w:hAnsi="Times New Roman"/>
          <w:sz w:val="24"/>
          <w:szCs w:val="24"/>
        </w:rPr>
        <w:t>2016</w:t>
      </w:r>
      <w:r w:rsidRPr="005A562B">
        <w:rPr>
          <w:rFonts w:ascii="Times New Roman" w:hAnsi="Times New Roman"/>
          <w:sz w:val="24"/>
          <w:szCs w:val="24"/>
        </w:rPr>
        <w:t>г. составляет 9 человек, в том числе муниципальных служащих – 5 человек.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562B">
        <w:rPr>
          <w:rFonts w:ascii="Times New Roman" w:hAnsi="Times New Roman"/>
          <w:b/>
          <w:sz w:val="24"/>
          <w:szCs w:val="24"/>
        </w:rPr>
        <w:t>Муниципальные служащие-5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 xml:space="preserve">Глава администрации-1 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>Управляющий делами-1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>Специалист по финансовой и налоговой политике- экономист, главный бухгалтер-1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>Специалист по ЗР И МУ-1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>Специалист по работе с населением-1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562B">
        <w:rPr>
          <w:rFonts w:ascii="Times New Roman" w:hAnsi="Times New Roman"/>
          <w:b/>
          <w:sz w:val="24"/>
          <w:szCs w:val="24"/>
        </w:rPr>
        <w:t>Технические работники-2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>Бухгалтер-кассир-1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>Секретарь-1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562B">
        <w:rPr>
          <w:rFonts w:ascii="Times New Roman" w:hAnsi="Times New Roman"/>
          <w:b/>
          <w:sz w:val="24"/>
          <w:szCs w:val="24"/>
        </w:rPr>
        <w:t>Обслуживающий персонал-2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>Водитель-1</w:t>
      </w:r>
    </w:p>
    <w:p w:rsidR="00A1020E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62B">
        <w:rPr>
          <w:rFonts w:ascii="Times New Roman" w:hAnsi="Times New Roman"/>
          <w:sz w:val="24"/>
          <w:szCs w:val="24"/>
        </w:rPr>
        <w:t>Уборщик-1</w:t>
      </w:r>
    </w:p>
    <w:p w:rsidR="00A1020E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оплаты труда рассчитан в соответствии с законодательством Российской Федерации.</w:t>
      </w:r>
    </w:p>
    <w:p w:rsidR="00A1020E" w:rsidRPr="005A562B" w:rsidRDefault="00A1020E" w:rsidP="005A56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4320">
        <w:rPr>
          <w:rFonts w:ascii="Times New Roman" w:hAnsi="Times New Roman"/>
          <w:bCs/>
          <w:sz w:val="24"/>
          <w:szCs w:val="24"/>
        </w:rPr>
        <w:t>Информация о численности и фонде оплаты труда муниципальных служащих по состоянию на 01.01.2015г</w:t>
      </w:r>
      <w:r>
        <w:rPr>
          <w:rFonts w:ascii="Times New Roman" w:hAnsi="Times New Roman"/>
          <w:bCs/>
          <w:sz w:val="24"/>
          <w:szCs w:val="24"/>
        </w:rPr>
        <w:t xml:space="preserve"> приведена в таблице и </w:t>
      </w:r>
      <w:r>
        <w:rPr>
          <w:rFonts w:ascii="Times New Roman" w:hAnsi="Times New Roman"/>
          <w:sz w:val="24"/>
          <w:szCs w:val="24"/>
        </w:rPr>
        <w:t>Штатном расписание (Приложение 1,2 к пояснительной записке).</w:t>
      </w:r>
    </w:p>
    <w:p w:rsidR="00A1020E" w:rsidRPr="00464F49" w:rsidRDefault="00A1020E" w:rsidP="005A5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4F49">
        <w:rPr>
          <w:rFonts w:ascii="Times New Roman" w:hAnsi="Times New Roman"/>
          <w:sz w:val="24"/>
          <w:szCs w:val="24"/>
        </w:rPr>
        <w:t>Остальные расходы бюджета рассчитаны с учетом индекса потребительских цен на 201</w:t>
      </w:r>
      <w:r>
        <w:rPr>
          <w:rFonts w:ascii="Times New Roman" w:hAnsi="Times New Roman"/>
          <w:sz w:val="24"/>
          <w:szCs w:val="24"/>
        </w:rPr>
        <w:t>6</w:t>
      </w:r>
      <w:r w:rsidRPr="00464F49">
        <w:rPr>
          <w:rFonts w:ascii="Times New Roman" w:hAnsi="Times New Roman"/>
          <w:sz w:val="24"/>
          <w:szCs w:val="24"/>
        </w:rPr>
        <w:t xml:space="preserve"> г -  около106,0 % или на корректировку фактических расходов за 2015год с учетом оптимизации расходов бюджета.</w:t>
      </w:r>
    </w:p>
    <w:p w:rsidR="00A1020E" w:rsidRPr="00C872EF" w:rsidRDefault="00A1020E" w:rsidP="00C074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2EF">
        <w:rPr>
          <w:rFonts w:ascii="Times New Roman" w:hAnsi="Times New Roman"/>
          <w:sz w:val="24"/>
          <w:szCs w:val="24"/>
        </w:rPr>
        <w:t xml:space="preserve"> Бюджет муниципального образования Красноярское сельское поселение на 2016 год сформирован без дефицита, доходы и расходы сбалансированы.     </w:t>
      </w:r>
    </w:p>
    <w:p w:rsidR="00A1020E" w:rsidRPr="0020445B" w:rsidRDefault="00A1020E" w:rsidP="00EC4B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45B">
        <w:rPr>
          <w:rFonts w:ascii="Times New Roman" w:hAnsi="Times New Roman"/>
          <w:sz w:val="24"/>
          <w:szCs w:val="24"/>
        </w:rPr>
        <w:t>За базу для формирования действующих расходных обязательств на 2016 год приняты показатели сводной бюджетной росписи на 2015 год с учетом их корректировки по  единой методике - исключены расходы, производимые:</w:t>
      </w:r>
    </w:p>
    <w:p w:rsidR="00A1020E" w:rsidRPr="0020445B" w:rsidRDefault="00A1020E" w:rsidP="00EC4B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45B">
        <w:rPr>
          <w:rFonts w:ascii="Times New Roman" w:hAnsi="Times New Roman"/>
          <w:sz w:val="24"/>
          <w:szCs w:val="24"/>
        </w:rPr>
        <w:t xml:space="preserve"> по разовым решениям;</w:t>
      </w:r>
    </w:p>
    <w:p w:rsidR="00A1020E" w:rsidRPr="0020445B" w:rsidRDefault="00A1020E" w:rsidP="002044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445B">
        <w:rPr>
          <w:rFonts w:ascii="Times New Roman" w:hAnsi="Times New Roman"/>
          <w:sz w:val="24"/>
          <w:szCs w:val="24"/>
        </w:rPr>
        <w:t xml:space="preserve"> расходы, срок реализации которых ограничен рамками одного года, предшествующего планируемому.</w:t>
      </w:r>
    </w:p>
    <w:p w:rsidR="00A1020E" w:rsidRPr="00863C23" w:rsidRDefault="00A1020E" w:rsidP="00863C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3C23">
        <w:rPr>
          <w:rFonts w:ascii="Times New Roman" w:hAnsi="Times New Roman"/>
          <w:sz w:val="24"/>
          <w:szCs w:val="24"/>
        </w:rPr>
        <w:t>При формировании бюджета на 2016 год были учтены также рекомендации, доведенные письмом Департамента финансов Томской области от 14.08.2015 № 50-02/18/1-147 «О подходах по формированию межбюджетных отношений на 2016 год и плановый период 201 и 2018годы"</w:t>
      </w:r>
    </w:p>
    <w:p w:rsidR="00A1020E" w:rsidRDefault="00A1020E" w:rsidP="00C074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1020E" w:rsidRDefault="00A1020E" w:rsidP="00C0740B">
      <w:pPr>
        <w:ind w:firstLine="709"/>
        <w:jc w:val="center"/>
        <w:rPr>
          <w:b/>
        </w:rPr>
      </w:pPr>
      <w:r w:rsidRPr="00325445">
        <w:rPr>
          <w:rFonts w:ascii="Times New Roman" w:hAnsi="Times New Roman"/>
          <w:b/>
          <w:sz w:val="24"/>
          <w:szCs w:val="24"/>
        </w:rPr>
        <w:t>Структура и динамика расходов ме</w:t>
      </w:r>
      <w:r>
        <w:rPr>
          <w:rFonts w:ascii="Times New Roman" w:hAnsi="Times New Roman"/>
          <w:b/>
          <w:sz w:val="24"/>
          <w:szCs w:val="24"/>
        </w:rPr>
        <w:t>стного бюджета на очередной 2016</w:t>
      </w:r>
      <w:r w:rsidRPr="00325445">
        <w:rPr>
          <w:rFonts w:ascii="Times New Roman" w:hAnsi="Times New Roman"/>
          <w:b/>
          <w:sz w:val="24"/>
          <w:szCs w:val="24"/>
        </w:rPr>
        <w:t xml:space="preserve"> год</w:t>
      </w:r>
      <w:r w:rsidRPr="009C35E5">
        <w:rPr>
          <w:b/>
        </w:rPr>
        <w:t xml:space="preserve">  </w:t>
      </w:r>
    </w:p>
    <w:p w:rsidR="00A1020E" w:rsidRPr="006A3556" w:rsidRDefault="00A1020E" w:rsidP="006A3556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6A3556">
        <w:rPr>
          <w:sz w:val="24"/>
          <w:szCs w:val="24"/>
        </w:rPr>
        <w:t>Общий объем расходов местного  бюджета на 201</w:t>
      </w:r>
      <w:r>
        <w:rPr>
          <w:sz w:val="24"/>
          <w:szCs w:val="24"/>
        </w:rPr>
        <w:t>6</w:t>
      </w:r>
      <w:r w:rsidRPr="006A3556">
        <w:rPr>
          <w:sz w:val="24"/>
          <w:szCs w:val="24"/>
        </w:rPr>
        <w:t xml:space="preserve"> год определен на уровне</w:t>
      </w:r>
      <w:r w:rsidRPr="006A35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7192,2</w:t>
      </w:r>
      <w:r w:rsidRPr="006A3556">
        <w:rPr>
          <w:sz w:val="24"/>
          <w:szCs w:val="24"/>
        </w:rPr>
        <w:t xml:space="preserve"> тыс. рублей.   </w:t>
      </w:r>
    </w:p>
    <w:p w:rsidR="00A1020E" w:rsidRPr="006A3556" w:rsidRDefault="00A1020E" w:rsidP="006A3556">
      <w:pPr>
        <w:rPr>
          <w:rFonts w:ascii="Times New Roman" w:hAnsi="Times New Roman"/>
          <w:sz w:val="24"/>
          <w:szCs w:val="24"/>
        </w:rPr>
      </w:pPr>
      <w:r w:rsidRPr="006A3556">
        <w:rPr>
          <w:rFonts w:ascii="Times New Roman" w:hAnsi="Times New Roman"/>
          <w:sz w:val="24"/>
          <w:szCs w:val="24"/>
        </w:rPr>
        <w:tab/>
        <w:t>Структура расходов местного бюджета на 201</w:t>
      </w:r>
      <w:r>
        <w:rPr>
          <w:rFonts w:ascii="Times New Roman" w:hAnsi="Times New Roman"/>
          <w:sz w:val="24"/>
          <w:szCs w:val="24"/>
        </w:rPr>
        <w:t>6 год</w:t>
      </w:r>
      <w:r w:rsidRPr="006A3556">
        <w:rPr>
          <w:rFonts w:ascii="Times New Roman" w:hAnsi="Times New Roman"/>
          <w:sz w:val="24"/>
          <w:szCs w:val="24"/>
        </w:rPr>
        <w:t xml:space="preserve"> представлена  в следующей таблице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195"/>
        <w:gridCol w:w="2268"/>
        <w:gridCol w:w="2126"/>
      </w:tblGrid>
      <w:tr w:rsidR="00A1020E" w:rsidRPr="00E754F2" w:rsidTr="00AA021E">
        <w:trPr>
          <w:jc w:val="center"/>
        </w:trPr>
        <w:tc>
          <w:tcPr>
            <w:tcW w:w="900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195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раздела функциональной классификации</w:t>
            </w:r>
          </w:p>
        </w:tc>
        <w:tc>
          <w:tcPr>
            <w:tcW w:w="2268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на 2015 год (тыс. руб.)</w:t>
            </w:r>
          </w:p>
        </w:tc>
        <w:tc>
          <w:tcPr>
            <w:tcW w:w="2126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Удельный вес в расходах (в %)</w:t>
            </w:r>
          </w:p>
        </w:tc>
      </w:tr>
      <w:tr w:rsidR="00A1020E" w:rsidRPr="00E754F2" w:rsidTr="00AA021E">
        <w:trPr>
          <w:jc w:val="center"/>
        </w:trPr>
        <w:tc>
          <w:tcPr>
            <w:tcW w:w="900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7980,2</w:t>
            </w:r>
          </w:p>
        </w:tc>
        <w:tc>
          <w:tcPr>
            <w:tcW w:w="2126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A1020E" w:rsidRPr="00E754F2" w:rsidTr="007C496D">
        <w:trPr>
          <w:trHeight w:val="553"/>
          <w:jc w:val="center"/>
        </w:trPr>
        <w:tc>
          <w:tcPr>
            <w:tcW w:w="900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4195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4044,3</w:t>
            </w:r>
          </w:p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50,68</w:t>
            </w:r>
          </w:p>
        </w:tc>
      </w:tr>
      <w:tr w:rsidR="00A1020E" w:rsidRPr="00E754F2" w:rsidTr="00AA021E">
        <w:trPr>
          <w:jc w:val="center"/>
        </w:trPr>
        <w:tc>
          <w:tcPr>
            <w:tcW w:w="900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4195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2268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126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</w:tr>
      <w:tr w:rsidR="00A1020E" w:rsidRPr="00E754F2" w:rsidTr="00AA021E">
        <w:trPr>
          <w:jc w:val="center"/>
        </w:trPr>
        <w:tc>
          <w:tcPr>
            <w:tcW w:w="900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4195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68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2506,0</w:t>
            </w:r>
          </w:p>
        </w:tc>
        <w:tc>
          <w:tcPr>
            <w:tcW w:w="2126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31,40</w:t>
            </w:r>
          </w:p>
        </w:tc>
      </w:tr>
      <w:tr w:rsidR="00A1020E" w:rsidRPr="00E754F2" w:rsidTr="00AA021E">
        <w:trPr>
          <w:jc w:val="center"/>
        </w:trPr>
        <w:tc>
          <w:tcPr>
            <w:tcW w:w="900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4195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2268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654,9</w:t>
            </w:r>
          </w:p>
        </w:tc>
        <w:tc>
          <w:tcPr>
            <w:tcW w:w="2126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8,21</w:t>
            </w:r>
          </w:p>
        </w:tc>
      </w:tr>
      <w:tr w:rsidR="00A1020E" w:rsidRPr="00E754F2" w:rsidTr="00AA021E">
        <w:trPr>
          <w:jc w:val="center"/>
        </w:trPr>
        <w:tc>
          <w:tcPr>
            <w:tcW w:w="900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4195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68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126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9,16</w:t>
            </w:r>
          </w:p>
        </w:tc>
      </w:tr>
      <w:tr w:rsidR="00A1020E" w:rsidRPr="00E754F2" w:rsidTr="00AA021E">
        <w:trPr>
          <w:jc w:val="center"/>
        </w:trPr>
        <w:tc>
          <w:tcPr>
            <w:tcW w:w="900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4195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126" w:type="dxa"/>
            <w:vAlign w:val="center"/>
          </w:tcPr>
          <w:p w:rsidR="00A1020E" w:rsidRPr="00E754F2" w:rsidRDefault="00A1020E" w:rsidP="00AA021E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</w:tbl>
    <w:p w:rsidR="00A1020E" w:rsidRPr="00905787" w:rsidRDefault="00A1020E" w:rsidP="00C0740B">
      <w:pPr>
        <w:ind w:firstLine="709"/>
        <w:jc w:val="center"/>
        <w:rPr>
          <w:b/>
          <w:i/>
          <w:u w:val="single"/>
        </w:rPr>
      </w:pPr>
      <w:r w:rsidRPr="00905787">
        <w:rPr>
          <w:b/>
          <w:i/>
          <w:u w:val="single"/>
        </w:rPr>
        <w:t>Общегосударственные расходы</w:t>
      </w:r>
    </w:p>
    <w:p w:rsidR="00A1020E" w:rsidRPr="00905787" w:rsidRDefault="00A1020E" w:rsidP="00C074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5787">
        <w:rPr>
          <w:rFonts w:ascii="Times New Roman" w:hAnsi="Times New Roman"/>
          <w:sz w:val="24"/>
          <w:szCs w:val="24"/>
        </w:rPr>
        <w:t>Данный раздел включает в себя следующие подразделы:</w:t>
      </w:r>
    </w:p>
    <w:p w:rsidR="00A1020E" w:rsidRPr="00905787" w:rsidRDefault="00A1020E" w:rsidP="009057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787">
        <w:rPr>
          <w:rFonts w:ascii="Times New Roman" w:hAnsi="Times New Roman"/>
          <w:sz w:val="24"/>
          <w:szCs w:val="24"/>
        </w:rPr>
        <w:t>функционирование  высшего должностного лица муниципального образования, функционирование представительных орган</w:t>
      </w:r>
      <w:r>
        <w:rPr>
          <w:rFonts w:ascii="Times New Roman" w:hAnsi="Times New Roman"/>
          <w:sz w:val="24"/>
          <w:szCs w:val="24"/>
        </w:rPr>
        <w:t xml:space="preserve">ов муниципального образования, </w:t>
      </w:r>
      <w:r w:rsidRPr="00905787">
        <w:rPr>
          <w:rFonts w:ascii="Times New Roman" w:hAnsi="Times New Roman"/>
          <w:sz w:val="24"/>
          <w:szCs w:val="24"/>
        </w:rPr>
        <w:t xml:space="preserve">функционирование исполнительных органов муниципальных образований,  </w:t>
      </w:r>
    </w:p>
    <w:p w:rsidR="00A1020E" w:rsidRPr="00905787" w:rsidRDefault="00A1020E" w:rsidP="00905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787">
        <w:rPr>
          <w:rFonts w:ascii="Times New Roman" w:hAnsi="Times New Roman"/>
          <w:sz w:val="24"/>
          <w:szCs w:val="24"/>
        </w:rPr>
        <w:t xml:space="preserve">резервные фонды, </w:t>
      </w:r>
    </w:p>
    <w:p w:rsidR="00A1020E" w:rsidRPr="00905787" w:rsidRDefault="00A1020E" w:rsidP="00C074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5787">
        <w:rPr>
          <w:rFonts w:ascii="Times New Roman" w:hAnsi="Times New Roman"/>
          <w:sz w:val="24"/>
          <w:szCs w:val="24"/>
        </w:rPr>
        <w:t>другие общегосударственные вопросы.</w:t>
      </w:r>
    </w:p>
    <w:p w:rsidR="00A1020E" w:rsidRPr="003123BC" w:rsidRDefault="00A1020E" w:rsidP="00344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3BC">
        <w:rPr>
          <w:rFonts w:ascii="Times New Roman" w:hAnsi="Times New Roman"/>
          <w:sz w:val="24"/>
          <w:szCs w:val="24"/>
        </w:rPr>
        <w:t>Доля расходов на общегосударственные расходы в общей структуре расходов занимает:</w:t>
      </w:r>
    </w:p>
    <w:p w:rsidR="00A1020E" w:rsidRPr="003123BC" w:rsidRDefault="00A1020E" w:rsidP="00344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50,68</w:t>
      </w:r>
      <w:r w:rsidRPr="003123BC">
        <w:rPr>
          <w:rFonts w:ascii="Times New Roman" w:hAnsi="Times New Roman"/>
          <w:sz w:val="24"/>
          <w:szCs w:val="24"/>
        </w:rPr>
        <w:t xml:space="preserve"> %  или </w:t>
      </w:r>
      <w:r>
        <w:rPr>
          <w:rFonts w:ascii="Times New Roman" w:hAnsi="Times New Roman"/>
          <w:sz w:val="24"/>
          <w:szCs w:val="24"/>
        </w:rPr>
        <w:t xml:space="preserve">4044,3 тыс. руб. </w:t>
      </w:r>
    </w:p>
    <w:p w:rsidR="00A1020E" w:rsidRPr="00E53C2C" w:rsidRDefault="00A1020E" w:rsidP="00C0740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3C2C">
        <w:rPr>
          <w:rFonts w:ascii="Times New Roman" w:hAnsi="Times New Roman"/>
          <w:color w:val="000000"/>
          <w:sz w:val="24"/>
          <w:szCs w:val="24"/>
        </w:rPr>
        <w:t>Доля расходов на общегосударственные вопросы в 2016 году выше расходов 2016года в связи с тем, что в 2016 году увеличится МРОТ, а также уч</w:t>
      </w:r>
      <w:r>
        <w:rPr>
          <w:rFonts w:ascii="Times New Roman" w:hAnsi="Times New Roman"/>
          <w:color w:val="000000"/>
          <w:sz w:val="24"/>
          <w:szCs w:val="24"/>
        </w:rPr>
        <w:t>тен коэффициент роста на энергоно</w:t>
      </w:r>
      <w:r w:rsidRPr="00E53C2C">
        <w:rPr>
          <w:rFonts w:ascii="Times New Roman" w:hAnsi="Times New Roman"/>
          <w:color w:val="000000"/>
          <w:sz w:val="24"/>
          <w:szCs w:val="24"/>
        </w:rPr>
        <w:t>сители.</w:t>
      </w:r>
    </w:p>
    <w:p w:rsidR="00A1020E" w:rsidRDefault="00A1020E" w:rsidP="00C0740B">
      <w:pPr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C496D">
        <w:rPr>
          <w:rFonts w:ascii="Times New Roman" w:hAnsi="Times New Roman"/>
          <w:b/>
          <w:i/>
          <w:sz w:val="24"/>
          <w:szCs w:val="24"/>
          <w:u w:val="single"/>
        </w:rPr>
        <w:t>Защита населения и территории от ЧС природного и техногенного характера, гражданская оборона</w:t>
      </w:r>
    </w:p>
    <w:p w:rsidR="00A1020E" w:rsidRDefault="00A1020E" w:rsidP="007C49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2652">
        <w:rPr>
          <w:rFonts w:ascii="Times New Roman" w:hAnsi="Times New Roman"/>
          <w:sz w:val="24"/>
          <w:szCs w:val="24"/>
        </w:rPr>
        <w:t>Данный раздел включает в себя</w:t>
      </w:r>
      <w:r>
        <w:rPr>
          <w:rFonts w:ascii="Times New Roman" w:hAnsi="Times New Roman"/>
          <w:sz w:val="24"/>
          <w:szCs w:val="24"/>
        </w:rPr>
        <w:t xml:space="preserve"> Муниципальную программу муниципального образования Красноярское сельское поселение «защита населения и территории муниципального образования Красноярское сельское поселение от ЧС, обеспечение пожарной безопасности» </w:t>
      </w:r>
    </w:p>
    <w:p w:rsidR="00A1020E" w:rsidRDefault="00A1020E" w:rsidP="007C496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0,44</w:t>
      </w:r>
      <w:r w:rsidRPr="007C496D">
        <w:rPr>
          <w:rFonts w:ascii="Times New Roman" w:hAnsi="Times New Roman"/>
          <w:color w:val="000000"/>
          <w:sz w:val="24"/>
          <w:szCs w:val="24"/>
        </w:rPr>
        <w:t xml:space="preserve"> % или </w:t>
      </w:r>
      <w:r>
        <w:rPr>
          <w:rFonts w:ascii="Times New Roman" w:hAnsi="Times New Roman"/>
          <w:color w:val="000000"/>
          <w:sz w:val="24"/>
          <w:szCs w:val="24"/>
        </w:rPr>
        <w:t>35,0</w:t>
      </w:r>
      <w:r w:rsidRPr="007C496D">
        <w:rPr>
          <w:rFonts w:ascii="Times New Roman" w:hAnsi="Times New Roman"/>
          <w:color w:val="000000"/>
          <w:sz w:val="24"/>
          <w:szCs w:val="24"/>
        </w:rPr>
        <w:t xml:space="preserve"> тыс. руб. </w:t>
      </w:r>
    </w:p>
    <w:p w:rsidR="00A1020E" w:rsidRPr="007C496D" w:rsidRDefault="00A1020E" w:rsidP="007C496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3 года, паспорт программы прилагается.</w:t>
      </w:r>
    </w:p>
    <w:p w:rsidR="00A1020E" w:rsidRDefault="00A1020E" w:rsidP="007C49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20E" w:rsidRPr="007C496D" w:rsidRDefault="00A1020E" w:rsidP="00C0740B">
      <w:pPr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C496D">
        <w:rPr>
          <w:rFonts w:ascii="Times New Roman" w:hAnsi="Times New Roman"/>
          <w:b/>
          <w:i/>
          <w:sz w:val="24"/>
          <w:szCs w:val="24"/>
          <w:u w:val="single"/>
        </w:rPr>
        <w:t xml:space="preserve"> Национальная экономика</w:t>
      </w:r>
    </w:p>
    <w:p w:rsidR="00A1020E" w:rsidRPr="00FA2652" w:rsidRDefault="00A1020E" w:rsidP="00CE13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2652">
        <w:rPr>
          <w:rFonts w:ascii="Times New Roman" w:hAnsi="Times New Roman"/>
          <w:sz w:val="24"/>
          <w:szCs w:val="24"/>
        </w:rPr>
        <w:t xml:space="preserve">Данный раздел включает в себя </w:t>
      </w:r>
      <w:r>
        <w:rPr>
          <w:rFonts w:ascii="Times New Roman" w:hAnsi="Times New Roman"/>
          <w:sz w:val="24"/>
          <w:szCs w:val="24"/>
        </w:rPr>
        <w:t>расходы по дорожному хозяйству9дорожные фонды)</w:t>
      </w:r>
    </w:p>
    <w:p w:rsidR="00A1020E" w:rsidRPr="00FA2652" w:rsidRDefault="00A1020E" w:rsidP="00FA2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2652">
        <w:rPr>
          <w:rFonts w:ascii="Times New Roman" w:hAnsi="Times New Roman"/>
          <w:sz w:val="24"/>
          <w:szCs w:val="24"/>
        </w:rPr>
        <w:t>Доля расходов местного бюджета на это направление деятельности:</w:t>
      </w:r>
    </w:p>
    <w:p w:rsidR="00A1020E" w:rsidRPr="00CE13B5" w:rsidRDefault="00A1020E" w:rsidP="00FA26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13B5">
        <w:rPr>
          <w:rFonts w:ascii="Times New Roman" w:hAnsi="Times New Roman"/>
          <w:color w:val="000000"/>
          <w:sz w:val="24"/>
          <w:szCs w:val="24"/>
        </w:rPr>
        <w:t xml:space="preserve">31,4 % или 2506,0 тыс. руб. </w:t>
      </w:r>
    </w:p>
    <w:p w:rsidR="00A1020E" w:rsidRPr="00F05976" w:rsidRDefault="00A1020E" w:rsidP="00612EB6">
      <w:pPr>
        <w:pStyle w:val="Header"/>
        <w:tabs>
          <w:tab w:val="left" w:pos="708"/>
        </w:tabs>
        <w:jc w:val="both"/>
        <w:rPr>
          <w:sz w:val="22"/>
          <w:szCs w:val="22"/>
        </w:rPr>
      </w:pPr>
      <w:r w:rsidRPr="0066214E">
        <w:rPr>
          <w:color w:val="000000"/>
        </w:rPr>
        <w:t xml:space="preserve">Данные расходы равны поступлению акцизов, которые составляют дорожный фонд, согласно Решению Совета Красноярского сельского поселения № 35 от 04.04.2013г. </w:t>
      </w:r>
      <w:r w:rsidRPr="00F05976">
        <w:rPr>
          <w:sz w:val="22"/>
          <w:szCs w:val="22"/>
        </w:rPr>
        <w:t>«О муниципальном дорожном фонде</w:t>
      </w:r>
      <w:r>
        <w:rPr>
          <w:sz w:val="22"/>
          <w:szCs w:val="22"/>
        </w:rPr>
        <w:t xml:space="preserve"> муниципального образования </w:t>
      </w:r>
      <w:r w:rsidRPr="00F05976">
        <w:rPr>
          <w:sz w:val="22"/>
          <w:szCs w:val="22"/>
        </w:rPr>
        <w:t>Красноярско</w:t>
      </w:r>
      <w:r>
        <w:rPr>
          <w:sz w:val="22"/>
          <w:szCs w:val="22"/>
        </w:rPr>
        <w:t>е</w:t>
      </w:r>
      <w:r w:rsidRPr="00F05976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>е</w:t>
      </w:r>
      <w:r w:rsidRPr="00F05976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е</w:t>
      </w:r>
      <w:r w:rsidRPr="00F05976">
        <w:rPr>
          <w:sz w:val="22"/>
          <w:szCs w:val="22"/>
        </w:rPr>
        <w:t>»</w:t>
      </w:r>
    </w:p>
    <w:p w:rsidR="00A1020E" w:rsidRDefault="00A1020E" w:rsidP="00C0740B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020E" w:rsidRDefault="00A1020E" w:rsidP="004D6069">
      <w:pPr>
        <w:pStyle w:val="Heading8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4D6069"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  <w:t>Жилищно-коммунальное</w:t>
      </w:r>
      <w:r w:rsidRPr="004D6069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хозяйство»</w:t>
      </w:r>
    </w:p>
    <w:p w:rsidR="00A1020E" w:rsidRPr="004D6069" w:rsidRDefault="00A1020E" w:rsidP="004D6069">
      <w:pPr>
        <w:pStyle w:val="BodyTextIndent"/>
        <w:ind w:firstLine="709"/>
        <w:rPr>
          <w:rFonts w:ascii="Times New Roman" w:hAnsi="Times New Roman"/>
          <w:sz w:val="24"/>
          <w:szCs w:val="24"/>
        </w:rPr>
      </w:pPr>
      <w:r w:rsidRPr="004D6069">
        <w:rPr>
          <w:rFonts w:ascii="Times New Roman" w:hAnsi="Times New Roman"/>
          <w:sz w:val="24"/>
          <w:szCs w:val="24"/>
        </w:rPr>
        <w:t xml:space="preserve">Основные полномочия в сфере жилищно–коммунального хозяйства относятся к сфере ведения органов местного самоуправления. </w:t>
      </w:r>
    </w:p>
    <w:p w:rsidR="00A1020E" w:rsidRDefault="00A1020E" w:rsidP="004D6069">
      <w:pPr>
        <w:pStyle w:val="BodyTextFirstIndent2"/>
        <w:ind w:left="0" w:firstLine="709"/>
        <w:jc w:val="both"/>
      </w:pPr>
      <w:r w:rsidRPr="004D6069">
        <w:t>Общие бюджетные ассигнования проекта местного  бюджета по разделу «Жилищно-коммунальное хозяйство» характеризуются следующими данными:</w:t>
      </w:r>
    </w:p>
    <w:p w:rsidR="00A1020E" w:rsidRPr="004D6069" w:rsidRDefault="00A1020E" w:rsidP="004D6069">
      <w:pPr>
        <w:pStyle w:val="BodyTextFirstIndent2"/>
        <w:ind w:left="0" w:firstLine="709"/>
        <w:jc w:val="both"/>
      </w:pPr>
      <w:r w:rsidRPr="00FA2652">
        <w:t>Доля расходов местного бюджета</w:t>
      </w:r>
      <w:r>
        <w:t xml:space="preserve"> 8,21% или 654,9 тыс.руб.</w:t>
      </w:r>
    </w:p>
    <w:p w:rsidR="00A1020E" w:rsidRPr="00905787" w:rsidRDefault="00A1020E" w:rsidP="00E00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5787">
        <w:rPr>
          <w:rFonts w:ascii="Times New Roman" w:hAnsi="Times New Roman"/>
          <w:sz w:val="24"/>
          <w:szCs w:val="24"/>
        </w:rPr>
        <w:t>Данный раздел включает в себя следующие подразделы:</w:t>
      </w:r>
    </w:p>
    <w:p w:rsidR="00A1020E" w:rsidRPr="004D6069" w:rsidRDefault="00A1020E" w:rsidP="004D6069">
      <w:pPr>
        <w:pStyle w:val="BodyTextFirstIndent2"/>
        <w:ind w:left="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423"/>
      </w:tblGrid>
      <w:tr w:rsidR="00A1020E" w:rsidRPr="00E754F2" w:rsidTr="00E007E4">
        <w:trPr>
          <w:trHeight w:val="732"/>
        </w:trPr>
        <w:tc>
          <w:tcPr>
            <w:tcW w:w="6048" w:type="dxa"/>
          </w:tcPr>
          <w:p w:rsidR="00A1020E" w:rsidRPr="00E754F2" w:rsidRDefault="00A1020E" w:rsidP="00E007E4">
            <w:pPr>
              <w:tabs>
                <w:tab w:val="left" w:pos="660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3423" w:type="dxa"/>
          </w:tcPr>
          <w:p w:rsidR="00A1020E" w:rsidRPr="00E754F2" w:rsidRDefault="00A1020E" w:rsidP="009C1160">
            <w:pPr>
              <w:tabs>
                <w:tab w:val="left" w:pos="660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Сумма на 2016 год,тыс.руб.</w:t>
            </w:r>
          </w:p>
        </w:tc>
      </w:tr>
      <w:tr w:rsidR="00A1020E" w:rsidRPr="00E754F2" w:rsidTr="009C1160">
        <w:tc>
          <w:tcPr>
            <w:tcW w:w="6048" w:type="dxa"/>
          </w:tcPr>
          <w:p w:rsidR="00A1020E" w:rsidRPr="00E754F2" w:rsidRDefault="00A1020E" w:rsidP="009C1160">
            <w:pPr>
              <w:tabs>
                <w:tab w:val="left" w:pos="660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423" w:type="dxa"/>
          </w:tcPr>
          <w:p w:rsidR="00A1020E" w:rsidRPr="00E754F2" w:rsidRDefault="00A1020E" w:rsidP="009C1160">
            <w:pPr>
              <w:tabs>
                <w:tab w:val="left" w:pos="660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1020E" w:rsidRPr="00E754F2" w:rsidTr="009C1160">
        <w:tc>
          <w:tcPr>
            <w:tcW w:w="6048" w:type="dxa"/>
          </w:tcPr>
          <w:p w:rsidR="00A1020E" w:rsidRPr="00E754F2" w:rsidRDefault="00A1020E" w:rsidP="009C1160">
            <w:pPr>
              <w:tabs>
                <w:tab w:val="left" w:pos="660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23" w:type="dxa"/>
          </w:tcPr>
          <w:p w:rsidR="00A1020E" w:rsidRPr="00E754F2" w:rsidRDefault="00A1020E" w:rsidP="009C1160">
            <w:pPr>
              <w:tabs>
                <w:tab w:val="left" w:pos="660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1020E" w:rsidRPr="00E754F2" w:rsidTr="009C1160">
        <w:tc>
          <w:tcPr>
            <w:tcW w:w="6048" w:type="dxa"/>
          </w:tcPr>
          <w:p w:rsidR="00A1020E" w:rsidRPr="00E754F2" w:rsidRDefault="00A1020E" w:rsidP="009C1160">
            <w:pPr>
              <w:tabs>
                <w:tab w:val="left" w:pos="660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423" w:type="dxa"/>
          </w:tcPr>
          <w:p w:rsidR="00A1020E" w:rsidRPr="00E754F2" w:rsidRDefault="00A1020E" w:rsidP="009C1160">
            <w:pPr>
              <w:tabs>
                <w:tab w:val="left" w:pos="660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584,9</w:t>
            </w:r>
          </w:p>
        </w:tc>
      </w:tr>
      <w:tr w:rsidR="00A1020E" w:rsidRPr="00E754F2" w:rsidTr="009C1160">
        <w:tc>
          <w:tcPr>
            <w:tcW w:w="6048" w:type="dxa"/>
          </w:tcPr>
          <w:p w:rsidR="00A1020E" w:rsidRPr="00E754F2" w:rsidRDefault="00A1020E" w:rsidP="009C1160">
            <w:pPr>
              <w:tabs>
                <w:tab w:val="left" w:pos="6602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разделу 0500</w:t>
            </w:r>
          </w:p>
        </w:tc>
        <w:tc>
          <w:tcPr>
            <w:tcW w:w="3423" w:type="dxa"/>
          </w:tcPr>
          <w:p w:rsidR="00A1020E" w:rsidRPr="00E754F2" w:rsidRDefault="00A1020E" w:rsidP="009C1160">
            <w:pPr>
              <w:tabs>
                <w:tab w:val="left" w:pos="6602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654,9 тыс.руб.</w:t>
            </w:r>
          </w:p>
        </w:tc>
      </w:tr>
    </w:tbl>
    <w:p w:rsidR="00A1020E" w:rsidRPr="004D6069" w:rsidRDefault="00A1020E" w:rsidP="004D6069">
      <w:pPr>
        <w:shd w:val="clear" w:color="auto" w:fill="FFFFFF"/>
        <w:tabs>
          <w:tab w:val="left" w:pos="6602"/>
        </w:tabs>
        <w:jc w:val="both"/>
        <w:rPr>
          <w:rFonts w:ascii="Times New Roman" w:hAnsi="Times New Roman"/>
          <w:sz w:val="24"/>
          <w:szCs w:val="24"/>
        </w:rPr>
      </w:pPr>
    </w:p>
    <w:p w:rsidR="00A1020E" w:rsidRPr="004D6069" w:rsidRDefault="00A1020E" w:rsidP="004D6069">
      <w:pPr>
        <w:shd w:val="clear" w:color="auto" w:fill="FFFFFF"/>
        <w:tabs>
          <w:tab w:val="left" w:pos="6602"/>
        </w:tabs>
        <w:ind w:left="7" w:firstLine="709"/>
        <w:jc w:val="both"/>
        <w:rPr>
          <w:rFonts w:ascii="Times New Roman" w:hAnsi="Times New Roman"/>
          <w:sz w:val="24"/>
          <w:szCs w:val="24"/>
        </w:rPr>
      </w:pPr>
      <w:r w:rsidRPr="004D6069">
        <w:rPr>
          <w:rFonts w:ascii="Times New Roman" w:hAnsi="Times New Roman"/>
          <w:sz w:val="24"/>
          <w:szCs w:val="24"/>
        </w:rPr>
        <w:t xml:space="preserve">По разделу 0501 «Жилищное хозяйство» бюджетные ассигнования будут направлены на содержание муниципального жилого фонда, ремонт муниципального имущества, согласно программе ремонта </w:t>
      </w:r>
      <w:r>
        <w:rPr>
          <w:rFonts w:ascii="Times New Roman" w:hAnsi="Times New Roman"/>
          <w:sz w:val="24"/>
          <w:szCs w:val="24"/>
        </w:rPr>
        <w:t>домов в 2016</w:t>
      </w:r>
      <w:r w:rsidRPr="004D6069">
        <w:rPr>
          <w:rFonts w:ascii="Times New Roman" w:hAnsi="Times New Roman"/>
          <w:sz w:val="24"/>
          <w:szCs w:val="24"/>
        </w:rPr>
        <w:t xml:space="preserve"> году (50,0 т.р.</w:t>
      </w:r>
      <w:r>
        <w:rPr>
          <w:rFonts w:ascii="Times New Roman" w:hAnsi="Times New Roman"/>
          <w:sz w:val="24"/>
          <w:szCs w:val="24"/>
        </w:rPr>
        <w:t>)</w:t>
      </w:r>
    </w:p>
    <w:p w:rsidR="00A1020E" w:rsidRPr="004D6069" w:rsidRDefault="00A1020E" w:rsidP="004D6069">
      <w:pPr>
        <w:shd w:val="clear" w:color="auto" w:fill="FFFFFF"/>
        <w:tabs>
          <w:tab w:val="left" w:pos="6602"/>
        </w:tabs>
        <w:ind w:left="7" w:firstLine="709"/>
        <w:jc w:val="both"/>
        <w:rPr>
          <w:rFonts w:ascii="Times New Roman" w:hAnsi="Times New Roman"/>
          <w:sz w:val="24"/>
          <w:szCs w:val="24"/>
        </w:rPr>
      </w:pPr>
      <w:r w:rsidRPr="004D6069">
        <w:rPr>
          <w:rFonts w:ascii="Times New Roman" w:hAnsi="Times New Roman"/>
          <w:sz w:val="24"/>
          <w:szCs w:val="24"/>
        </w:rPr>
        <w:t>Запланированные по разделу 0502 «Коммунальное хозяйство» будут направлены на  содержание  объектов коммунального хозяйства, а также на расходы по энергетическому обследованию котельной Администрации Красноярского сельского поселения.</w:t>
      </w:r>
    </w:p>
    <w:p w:rsidR="00A1020E" w:rsidRPr="004D6069" w:rsidRDefault="00A1020E" w:rsidP="004D6069">
      <w:pPr>
        <w:shd w:val="clear" w:color="auto" w:fill="FFFFFF"/>
        <w:tabs>
          <w:tab w:val="left" w:pos="6602"/>
        </w:tabs>
        <w:ind w:left="7" w:firstLine="709"/>
        <w:jc w:val="both"/>
        <w:rPr>
          <w:rFonts w:ascii="Times New Roman" w:hAnsi="Times New Roman"/>
          <w:sz w:val="24"/>
          <w:szCs w:val="24"/>
        </w:rPr>
      </w:pPr>
      <w:r w:rsidRPr="004D6069">
        <w:rPr>
          <w:rFonts w:ascii="Times New Roman" w:hAnsi="Times New Roman"/>
          <w:sz w:val="24"/>
          <w:szCs w:val="24"/>
        </w:rPr>
        <w:t xml:space="preserve">Раздел 0503 «Благоустройство» включает в себя расходы на уличное освещение, работ по благоустройству отработчиков по наказанию, содержание кладбищ, </w:t>
      </w:r>
      <w:r>
        <w:rPr>
          <w:rFonts w:ascii="Times New Roman" w:hAnsi="Times New Roman"/>
          <w:sz w:val="24"/>
          <w:szCs w:val="24"/>
        </w:rPr>
        <w:t xml:space="preserve">благоустройство улиц, детских игровых площадок и </w:t>
      </w:r>
      <w:r w:rsidRPr="004D6069">
        <w:rPr>
          <w:rFonts w:ascii="Times New Roman" w:hAnsi="Times New Roman"/>
          <w:sz w:val="24"/>
          <w:szCs w:val="24"/>
        </w:rPr>
        <w:t xml:space="preserve">прочее благоустройство. </w:t>
      </w:r>
    </w:p>
    <w:p w:rsidR="00A1020E" w:rsidRPr="00AD5D1E" w:rsidRDefault="00A1020E" w:rsidP="00AD5D1E">
      <w:pPr>
        <w:pStyle w:val="Heading8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Культура и кинематография</w:t>
      </w:r>
    </w:p>
    <w:p w:rsidR="00A1020E" w:rsidRPr="00905787" w:rsidRDefault="00A1020E" w:rsidP="00AD6B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787">
        <w:rPr>
          <w:rFonts w:ascii="Times New Roman" w:hAnsi="Times New Roman"/>
          <w:sz w:val="24"/>
          <w:szCs w:val="24"/>
        </w:rPr>
        <w:t>Данный раздел включает в себя следующие подразделы:</w:t>
      </w:r>
    </w:p>
    <w:p w:rsidR="00A1020E" w:rsidRPr="00AD6B0D" w:rsidRDefault="00A1020E" w:rsidP="00AD6B0D">
      <w:pPr>
        <w:pStyle w:val="BodyTextIndent"/>
        <w:numPr>
          <w:ilvl w:val="0"/>
          <w:numId w:val="1"/>
        </w:numPr>
        <w:spacing w:after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культура</w:t>
      </w:r>
    </w:p>
    <w:p w:rsidR="00A1020E" w:rsidRPr="00AD5D1E" w:rsidRDefault="00A1020E" w:rsidP="00AD6B0D">
      <w:pPr>
        <w:pStyle w:val="BodyTextIndent"/>
        <w:numPr>
          <w:ilvl w:val="0"/>
          <w:numId w:val="1"/>
        </w:numPr>
        <w:spacing w:after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 и кинематографии</w:t>
      </w:r>
    </w:p>
    <w:p w:rsidR="00A1020E" w:rsidRPr="00132C94" w:rsidRDefault="00A1020E" w:rsidP="00AD5D1E">
      <w:pPr>
        <w:pStyle w:val="BodyText"/>
        <w:ind w:firstLine="709"/>
        <w:rPr>
          <w:color w:val="000000"/>
        </w:rPr>
      </w:pPr>
      <w:r w:rsidRPr="00132C94">
        <w:rPr>
          <w:color w:val="000000"/>
        </w:rPr>
        <w:t>Структура раздела 0800 «Культура» выглядит следующим образом:</w:t>
      </w:r>
    </w:p>
    <w:p w:rsidR="00A1020E" w:rsidRPr="00132C94" w:rsidRDefault="00A1020E" w:rsidP="00AD5D1E">
      <w:pPr>
        <w:pStyle w:val="BodyText"/>
        <w:ind w:firstLine="709"/>
        <w:rPr>
          <w:color w:val="000000"/>
        </w:rPr>
      </w:pPr>
    </w:p>
    <w:tbl>
      <w:tblPr>
        <w:tblpPr w:leftFromText="180" w:rightFromText="180" w:vertAnchor="text" w:tblpX="-601" w:tblpY="1"/>
        <w:tblOverlap w:val="never"/>
        <w:tblW w:w="10352" w:type="dxa"/>
        <w:tblLayout w:type="fixed"/>
        <w:tblLook w:val="0000"/>
      </w:tblPr>
      <w:tblGrid>
        <w:gridCol w:w="1383"/>
        <w:gridCol w:w="5717"/>
        <w:gridCol w:w="1595"/>
        <w:gridCol w:w="1657"/>
      </w:tblGrid>
      <w:tr w:rsidR="00A1020E" w:rsidRPr="00E754F2" w:rsidTr="00C2791A">
        <w:trPr>
          <w:cantSplit/>
          <w:trHeight w:val="271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направления трансфертов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020E" w:rsidRPr="00E754F2" w:rsidRDefault="00A1020E" w:rsidP="00132C94">
            <w:pPr>
              <w:ind w:firstLine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A1020E" w:rsidRPr="00E754F2" w:rsidTr="00C2791A">
        <w:trPr>
          <w:cantSplit/>
          <w:trHeight w:val="50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spacing w:after="0"/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spacing w:after="0"/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в расходах (в %)</w:t>
            </w:r>
          </w:p>
        </w:tc>
      </w:tr>
      <w:tr w:rsidR="00A1020E" w:rsidRPr="00E754F2" w:rsidTr="00C2791A">
        <w:trPr>
          <w:cantSplit/>
          <w:trHeight w:val="50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spacing w:after="0"/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20E" w:rsidRPr="00E754F2" w:rsidTr="00C2791A">
        <w:trPr>
          <w:cantSplit/>
          <w:trHeight w:val="51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20E" w:rsidRPr="00E754F2" w:rsidTr="00C2791A">
        <w:trPr>
          <w:trHeight w:val="27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E754F2" w:rsidRDefault="00A1020E" w:rsidP="00132C94">
            <w:pPr>
              <w:ind w:firstLine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54F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54F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54F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ind w:firstLine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754F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A1020E" w:rsidRPr="00E754F2" w:rsidTr="00C2791A">
        <w:trPr>
          <w:trHeight w:val="25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20E" w:rsidRPr="00E754F2" w:rsidRDefault="00A1020E" w:rsidP="00132C94">
            <w:pPr>
              <w:ind w:firstLine="4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spacing w:after="0"/>
              <w:ind w:firstLine="4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расходов, тыс.руб.</w:t>
            </w:r>
          </w:p>
          <w:p w:rsidR="00A1020E" w:rsidRPr="00E754F2" w:rsidRDefault="00A1020E" w:rsidP="00132C94">
            <w:pPr>
              <w:spacing w:after="0"/>
              <w:ind w:firstLine="4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E754F2" w:rsidRDefault="00A1020E" w:rsidP="00132C94">
            <w:pPr>
              <w:ind w:firstLine="49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E754F2" w:rsidRDefault="00A1020E" w:rsidP="00132C94">
            <w:pPr>
              <w:ind w:firstLine="49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1020E" w:rsidRPr="00E754F2" w:rsidTr="00C2791A">
        <w:trPr>
          <w:trHeight w:val="7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20E" w:rsidRPr="00E754F2" w:rsidRDefault="00A1020E" w:rsidP="00C2791A">
            <w:pPr>
              <w:ind w:firstLine="4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132C94">
            <w:pPr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754F2">
              <w:rPr>
                <w:rFonts w:ascii="Times New Roman CYR" w:hAnsi="Times New Roman CYR" w:cs="Times New Roman CYR"/>
                <w:color w:val="000000"/>
              </w:rPr>
              <w:t>Межбюджетные трансферты бюджетам  муниципальных районов из бюджетов поселений и межбюджетные трансферты  бюджетам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1020E" w:rsidRPr="00E754F2" w:rsidRDefault="00A1020E" w:rsidP="00132C94">
            <w:pPr>
              <w:ind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E754F2" w:rsidRDefault="00A1020E" w:rsidP="00132C94">
            <w:pPr>
              <w:ind w:firstLine="49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E754F2" w:rsidRDefault="00A1020E" w:rsidP="00132C94">
            <w:pPr>
              <w:ind w:firstLine="49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94,69</w:t>
            </w:r>
          </w:p>
        </w:tc>
      </w:tr>
      <w:tr w:rsidR="00A1020E" w:rsidRPr="00E754F2" w:rsidTr="00C2791A">
        <w:trPr>
          <w:trHeight w:val="40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20E" w:rsidRPr="00E754F2" w:rsidRDefault="00A1020E" w:rsidP="00132C94">
            <w:pPr>
              <w:ind w:firstLine="4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20E" w:rsidRPr="00E754F2" w:rsidRDefault="00A1020E" w:rsidP="00C2791A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754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  <w:p w:rsidR="00A1020E" w:rsidRPr="00E754F2" w:rsidRDefault="00A1020E" w:rsidP="00C2791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E754F2" w:rsidRDefault="00A1020E" w:rsidP="00132C94">
            <w:pPr>
              <w:ind w:firstLine="4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20E" w:rsidRPr="00E754F2" w:rsidRDefault="00A1020E" w:rsidP="00132C94">
            <w:pPr>
              <w:ind w:firstLine="4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</w:tbl>
    <w:p w:rsidR="00A1020E" w:rsidRPr="00AD5D1E" w:rsidRDefault="00A1020E" w:rsidP="00AD5D1E">
      <w:pPr>
        <w:pStyle w:val="Heading8"/>
        <w:rPr>
          <w:rFonts w:ascii="Times New Roman" w:hAnsi="Times New Roman"/>
          <w:sz w:val="24"/>
          <w:szCs w:val="24"/>
        </w:rPr>
      </w:pPr>
    </w:p>
    <w:p w:rsidR="00A1020E" w:rsidRPr="004D34CC" w:rsidRDefault="00A1020E" w:rsidP="004D34CC">
      <w:pPr>
        <w:pStyle w:val="Heading8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4D34CC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Расходы по отраслям социальной сферы</w:t>
      </w:r>
    </w:p>
    <w:p w:rsidR="00A1020E" w:rsidRDefault="00A1020E" w:rsidP="004D34CC">
      <w:pPr>
        <w:pStyle w:val="Heading8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4D34CC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Физическая культура и спорт</w:t>
      </w:r>
    </w:p>
    <w:p w:rsidR="00A1020E" w:rsidRPr="00E03CD1" w:rsidRDefault="00A1020E" w:rsidP="00E03CD1"/>
    <w:p w:rsidR="00A1020E" w:rsidRPr="00AD5D1E" w:rsidRDefault="00A1020E" w:rsidP="00AD5D1E">
      <w:pPr>
        <w:pStyle w:val="BodyTextIndent"/>
        <w:ind w:firstLine="709"/>
        <w:rPr>
          <w:rFonts w:ascii="Times New Roman" w:hAnsi="Times New Roman"/>
          <w:sz w:val="24"/>
          <w:szCs w:val="24"/>
        </w:rPr>
      </w:pPr>
      <w:r w:rsidRPr="00AD5D1E">
        <w:rPr>
          <w:rFonts w:ascii="Times New Roman" w:hAnsi="Times New Roman"/>
          <w:sz w:val="24"/>
          <w:szCs w:val="24"/>
        </w:rPr>
        <w:t xml:space="preserve">В частности по разделу 1101 « Другие вопросы в области физической культуры и спорта»  </w:t>
      </w:r>
    </w:p>
    <w:p w:rsidR="00A1020E" w:rsidRPr="00AD5D1E" w:rsidRDefault="00A1020E" w:rsidP="00AD5D1E">
      <w:pPr>
        <w:pStyle w:val="BodyTextIndent"/>
        <w:ind w:firstLine="709"/>
        <w:rPr>
          <w:rFonts w:ascii="Times New Roman" w:hAnsi="Times New Roman"/>
          <w:sz w:val="24"/>
          <w:szCs w:val="24"/>
        </w:rPr>
      </w:pPr>
      <w:r w:rsidRPr="00AD5D1E">
        <w:rPr>
          <w:rFonts w:ascii="Times New Roman" w:hAnsi="Times New Roman"/>
          <w:sz w:val="24"/>
          <w:szCs w:val="24"/>
        </w:rPr>
        <w:t>Объемы  ассигнований на 201</w:t>
      </w:r>
      <w:r>
        <w:rPr>
          <w:rFonts w:ascii="Times New Roman" w:hAnsi="Times New Roman"/>
          <w:sz w:val="24"/>
          <w:szCs w:val="24"/>
        </w:rPr>
        <w:t>6</w:t>
      </w:r>
      <w:r w:rsidRPr="00AD5D1E">
        <w:rPr>
          <w:rFonts w:ascii="Times New Roman" w:hAnsi="Times New Roman"/>
          <w:sz w:val="24"/>
          <w:szCs w:val="24"/>
        </w:rPr>
        <w:t xml:space="preserve"> год составляют:</w:t>
      </w:r>
    </w:p>
    <w:p w:rsidR="00A1020E" w:rsidRPr="00AD5D1E" w:rsidRDefault="00A1020E" w:rsidP="00AD5D1E">
      <w:pPr>
        <w:pStyle w:val="BodyTextIndent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6284"/>
        <w:gridCol w:w="2376"/>
      </w:tblGrid>
      <w:tr w:rsidR="00A1020E" w:rsidRPr="00E754F2" w:rsidTr="00E03CD1">
        <w:trPr>
          <w:trHeight w:val="504"/>
          <w:tblHeader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9C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9C1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4F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A1020E" w:rsidRPr="00E754F2" w:rsidTr="00E03CD1">
        <w:trPr>
          <w:trHeight w:val="454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E" w:rsidRPr="00E754F2" w:rsidRDefault="00A1020E" w:rsidP="009C11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iCs/>
                <w:sz w:val="24"/>
                <w:szCs w:val="24"/>
              </w:rPr>
              <w:t xml:space="preserve">Здравоохранение и спорт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9C1160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i/>
                <w:iCs/>
                <w:sz w:val="24"/>
                <w:szCs w:val="24"/>
              </w:rPr>
              <w:t>9,0</w:t>
            </w:r>
          </w:p>
        </w:tc>
      </w:tr>
      <w:tr w:rsidR="00A1020E" w:rsidRPr="00E754F2" w:rsidTr="00E03CD1">
        <w:trPr>
          <w:trHeight w:val="454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E" w:rsidRPr="00E754F2" w:rsidRDefault="00A1020E" w:rsidP="009C11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9C1160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1020E" w:rsidRPr="00E754F2" w:rsidTr="00E03CD1">
        <w:trPr>
          <w:trHeight w:val="467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E" w:rsidRPr="00E754F2" w:rsidRDefault="00A1020E" w:rsidP="009C11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iCs/>
                <w:sz w:val="24"/>
                <w:szCs w:val="24"/>
              </w:rPr>
              <w:t>МБТ на развитие ФК и спорта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9C1160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i/>
                <w:iCs/>
                <w:sz w:val="24"/>
                <w:szCs w:val="24"/>
              </w:rPr>
              <w:t>9,0</w:t>
            </w:r>
          </w:p>
        </w:tc>
      </w:tr>
      <w:tr w:rsidR="00A1020E" w:rsidRPr="00E754F2" w:rsidTr="00E03CD1">
        <w:trPr>
          <w:trHeight w:val="454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0E" w:rsidRPr="00E754F2" w:rsidRDefault="00A1020E" w:rsidP="009C11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754F2" w:rsidRDefault="00A1020E" w:rsidP="009C1160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54F2">
              <w:rPr>
                <w:rFonts w:ascii="Times New Roman" w:hAnsi="Times New Roman"/>
                <w:i/>
                <w:iCs/>
                <w:sz w:val="24"/>
                <w:szCs w:val="24"/>
              </w:rPr>
              <w:t>9,0</w:t>
            </w:r>
          </w:p>
        </w:tc>
      </w:tr>
    </w:tbl>
    <w:p w:rsidR="00A1020E" w:rsidRPr="00AD5D1E" w:rsidRDefault="00A1020E" w:rsidP="004D34CC">
      <w:pPr>
        <w:pStyle w:val="BodyTextIndent"/>
        <w:ind w:firstLine="709"/>
        <w:jc w:val="both"/>
        <w:rPr>
          <w:rFonts w:ascii="Times New Roman" w:hAnsi="Times New Roman"/>
          <w:sz w:val="24"/>
          <w:szCs w:val="24"/>
        </w:rPr>
      </w:pPr>
      <w:r w:rsidRPr="00AD5D1E">
        <w:rPr>
          <w:rFonts w:ascii="Times New Roman" w:hAnsi="Times New Roman"/>
          <w:sz w:val="24"/>
          <w:szCs w:val="24"/>
        </w:rPr>
        <w:t>Ассигнования местного бюджета в области  физической культуры и спорта направлены на реализацию возложенных действующим законодательством полномочий в данных отраслях с учетом изменений в бюджетном законодательстве.</w:t>
      </w:r>
    </w:p>
    <w:p w:rsidR="00A1020E" w:rsidRPr="00AD5D1E" w:rsidRDefault="00A1020E" w:rsidP="004D34CC">
      <w:pPr>
        <w:pStyle w:val="BodyText"/>
        <w:ind w:firstLine="709"/>
      </w:pPr>
      <w:r w:rsidRPr="00AD5D1E">
        <w:t xml:space="preserve">Поселение данные бюджетные средства, в соответствии с возложенными на него бюджетными полномочиями, обеспечивают результативность, адресность и целевой характер использования бюджетных средств. </w:t>
      </w:r>
    </w:p>
    <w:p w:rsidR="00A1020E" w:rsidRDefault="00A1020E" w:rsidP="002C2A26">
      <w:pPr>
        <w:pStyle w:val="Heading4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D34CC">
        <w:rPr>
          <w:rFonts w:ascii="Times New Roman" w:hAnsi="Times New Roman"/>
          <w:color w:val="auto"/>
          <w:sz w:val="24"/>
          <w:szCs w:val="24"/>
        </w:rPr>
        <w:t xml:space="preserve">Экономическая классификация расходов  </w:t>
      </w:r>
    </w:p>
    <w:p w:rsidR="00A1020E" w:rsidRPr="002C2A26" w:rsidRDefault="00A1020E" w:rsidP="002C2A26"/>
    <w:p w:rsidR="00A1020E" w:rsidRPr="00E03CD1" w:rsidRDefault="00A1020E" w:rsidP="002C2A26">
      <w:pPr>
        <w:pStyle w:val="Heading1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E03CD1">
        <w:rPr>
          <w:rFonts w:ascii="Times New Roman" w:hAnsi="Times New Roman"/>
          <w:b w:val="0"/>
          <w:color w:val="auto"/>
          <w:sz w:val="24"/>
          <w:szCs w:val="24"/>
        </w:rPr>
        <w:t xml:space="preserve">ри распределении бюджетных ассигнований по кодам бюджетной классификации на 2014 год и на плановый период 2015 и 2016 годов, руководствовались приказом </w:t>
      </w:r>
      <w:hyperlink r:id="rId7" w:history="1">
        <w:r w:rsidRPr="00E03CD1">
          <w:rPr>
            <w:rStyle w:val="a"/>
            <w:rFonts w:ascii="Times New Roman" w:hAnsi="Times New Roman"/>
            <w:b w:val="0"/>
            <w:color w:val="auto"/>
            <w:sz w:val="24"/>
            <w:szCs w:val="24"/>
          </w:rPr>
          <w:t>Минфина России от 1 июля 2013 г. N 65н "Об утверждении Указаний о порядке применения бюджетной классификации Российской Федерации"</w:t>
        </w:r>
      </w:hyperlink>
    </w:p>
    <w:p w:rsidR="00A1020E" w:rsidRDefault="00A1020E" w:rsidP="004D34CC"/>
    <w:p w:rsidR="00A1020E" w:rsidRPr="00277FE4" w:rsidRDefault="00A1020E" w:rsidP="004D34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бюджета сбалансирован. Доходы и расходы соответственно равны.</w:t>
      </w:r>
    </w:p>
    <w:p w:rsidR="00A1020E" w:rsidRDefault="00A1020E" w:rsidP="004D34CC"/>
    <w:p w:rsidR="00A1020E" w:rsidRDefault="00A1020E" w:rsidP="00C0740B">
      <w:pPr>
        <w:sectPr w:rsidR="00A1020E" w:rsidSect="00447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tbl>
      <w:tblPr>
        <w:tblW w:w="14996" w:type="dxa"/>
        <w:tblInd w:w="93" w:type="dxa"/>
        <w:tblLook w:val="00A0"/>
      </w:tblPr>
      <w:tblGrid>
        <w:gridCol w:w="2136"/>
        <w:gridCol w:w="1116"/>
        <w:gridCol w:w="1078"/>
        <w:gridCol w:w="1674"/>
        <w:gridCol w:w="943"/>
        <w:gridCol w:w="761"/>
        <w:gridCol w:w="929"/>
        <w:gridCol w:w="935"/>
        <w:gridCol w:w="929"/>
        <w:gridCol w:w="935"/>
        <w:gridCol w:w="1696"/>
        <w:gridCol w:w="929"/>
        <w:gridCol w:w="935"/>
      </w:tblGrid>
      <w:tr w:rsidR="00A1020E" w:rsidRPr="00E754F2" w:rsidTr="00A6320A">
        <w:trPr>
          <w:trHeight w:val="1701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20E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1 к пояснительной записке</w:t>
            </w:r>
          </w:p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E16AE6">
              <w:rPr>
                <w:rFonts w:ascii="Times New Roman" w:hAnsi="Times New Roman"/>
                <w:sz w:val="20"/>
                <w:szCs w:val="20"/>
              </w:rPr>
              <w:br/>
              <w:t>к Перечню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 на плановый период)</w:t>
            </w:r>
          </w:p>
        </w:tc>
      </w:tr>
      <w:tr w:rsidR="00A1020E" w:rsidRPr="00E754F2" w:rsidTr="00A6320A">
        <w:trPr>
          <w:trHeight w:val="735"/>
        </w:trPr>
        <w:tc>
          <w:tcPr>
            <w:tcW w:w="149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C05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6AE6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о численности и фонде оплаты труда муниципальных слу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жащих по состоянию на 01.01.2016</w:t>
            </w:r>
            <w:r w:rsidRPr="00E16A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г.                                                                                                      </w:t>
            </w:r>
          </w:p>
        </w:tc>
      </w:tr>
      <w:tr w:rsidR="00A1020E" w:rsidRPr="00E754F2" w:rsidTr="00A6320A">
        <w:trPr>
          <w:trHeight w:val="121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Наименование муниципальных образований и поселений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sz w:val="20"/>
                <w:szCs w:val="20"/>
              </w:rPr>
              <w:t>ен-ность населения на 01.01.2015</w:t>
            </w:r>
            <w:r w:rsidRPr="00E16AE6">
              <w:rPr>
                <w:rFonts w:ascii="Times New Roman" w:hAnsi="Times New Roman"/>
                <w:sz w:val="20"/>
                <w:szCs w:val="20"/>
              </w:rPr>
              <w:t xml:space="preserve"> (тыс.чел.)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Численность депутатов, выборных должностных лиц ОМСУ, осуществляющих свои полномочия на постоянной основе, и муниципальных служащих, в том числе содержащихся: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Нормативный ФОТ (без ЕСН)</w:t>
            </w:r>
          </w:p>
        </w:tc>
      </w:tr>
      <w:tr w:rsidR="00A1020E" w:rsidRPr="00E754F2" w:rsidTr="00A6320A">
        <w:trPr>
          <w:trHeight w:val="1140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 xml:space="preserve"> за счет местных бюджетов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 xml:space="preserve"> за счет субвенций из областного бюджета на передаваемые государственные полномочия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по форме 14МО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 xml:space="preserve"> прогнозируемый ФОТ по данным муниципального образования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 xml:space="preserve"> нормативный ФОТ по постановлению АТО от 03.07.2013 № 268а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Соотношение прогнозируемого ФОТ к нормативу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разница</w:t>
            </w:r>
          </w:p>
        </w:tc>
      </w:tr>
      <w:tr w:rsidR="00A1020E" w:rsidRPr="00E754F2" w:rsidTr="00A6320A">
        <w:trPr>
          <w:trHeight w:val="1163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в сумме, тыс.руб.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в расчете на единицу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в сумме, тыс.руб.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в расчете на единицу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в сумме, тыс.руб.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в расчете на единицу</w:t>
            </w:r>
          </w:p>
        </w:tc>
      </w:tr>
      <w:tr w:rsidR="00A1020E" w:rsidRPr="00E754F2" w:rsidTr="00A6320A">
        <w:trPr>
          <w:trHeight w:val="2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AE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A1020E" w:rsidRPr="00E754F2" w:rsidTr="00A6320A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Красноярское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AE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244,65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AE6">
              <w:rPr>
                <w:rFonts w:ascii="Times New Roman" w:hAnsi="Times New Roman"/>
                <w:b/>
                <w:bCs/>
                <w:sz w:val="20"/>
                <w:szCs w:val="20"/>
              </w:rPr>
              <w:t>-264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AE6">
              <w:rPr>
                <w:rFonts w:ascii="Times New Roman" w:hAnsi="Times New Roman"/>
                <w:b/>
                <w:bCs/>
                <w:sz w:val="20"/>
                <w:szCs w:val="20"/>
              </w:rPr>
              <w:t>-53</w:t>
            </w:r>
          </w:p>
        </w:tc>
      </w:tr>
      <w:tr w:rsidR="00A1020E" w:rsidRPr="00E754F2" w:rsidTr="00A6320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0E" w:rsidRPr="00E754F2" w:rsidTr="00A6320A">
        <w:trPr>
          <w:trHeight w:val="372"/>
        </w:trPr>
        <w:tc>
          <w:tcPr>
            <w:tcW w:w="149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20E" w:rsidRPr="00E16AE6" w:rsidRDefault="00A1020E" w:rsidP="00A6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AE6">
              <w:rPr>
                <w:rFonts w:ascii="Times New Roman" w:hAnsi="Times New Roman"/>
                <w:sz w:val="20"/>
                <w:szCs w:val="20"/>
              </w:rPr>
              <w:t>Суммы ФОТ отражены без ЕСН и без учета районного коэффициента и процентной надбавки за работу в мест. прир. к Крайнему Северу</w:t>
            </w:r>
          </w:p>
        </w:tc>
      </w:tr>
    </w:tbl>
    <w:p w:rsidR="00A1020E" w:rsidRDefault="00A1020E" w:rsidP="00C0740B"/>
    <w:sectPr w:rsidR="00A1020E" w:rsidSect="000A55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9EE"/>
    <w:multiLevelType w:val="hybridMultilevel"/>
    <w:tmpl w:val="2EF2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40B"/>
    <w:rsid w:val="00024EAB"/>
    <w:rsid w:val="00037854"/>
    <w:rsid w:val="000A55FD"/>
    <w:rsid w:val="00132C94"/>
    <w:rsid w:val="00133962"/>
    <w:rsid w:val="00155707"/>
    <w:rsid w:val="0020445B"/>
    <w:rsid w:val="00277FE4"/>
    <w:rsid w:val="002A1FF0"/>
    <w:rsid w:val="002A26D3"/>
    <w:rsid w:val="002C2A26"/>
    <w:rsid w:val="003123BC"/>
    <w:rsid w:val="00325445"/>
    <w:rsid w:val="00344BCC"/>
    <w:rsid w:val="0034592B"/>
    <w:rsid w:val="003766ED"/>
    <w:rsid w:val="00382A6E"/>
    <w:rsid w:val="0039144A"/>
    <w:rsid w:val="00392861"/>
    <w:rsid w:val="004476B9"/>
    <w:rsid w:val="0045724E"/>
    <w:rsid w:val="00464F49"/>
    <w:rsid w:val="004670B1"/>
    <w:rsid w:val="004772D8"/>
    <w:rsid w:val="00486360"/>
    <w:rsid w:val="004A0313"/>
    <w:rsid w:val="004D34CC"/>
    <w:rsid w:val="004D6069"/>
    <w:rsid w:val="00500FBB"/>
    <w:rsid w:val="0051090A"/>
    <w:rsid w:val="005313E3"/>
    <w:rsid w:val="0055120E"/>
    <w:rsid w:val="00583996"/>
    <w:rsid w:val="005A562B"/>
    <w:rsid w:val="005B1A15"/>
    <w:rsid w:val="005F1946"/>
    <w:rsid w:val="00612EB6"/>
    <w:rsid w:val="00614089"/>
    <w:rsid w:val="0066214E"/>
    <w:rsid w:val="006A3556"/>
    <w:rsid w:val="006C549C"/>
    <w:rsid w:val="006D37C9"/>
    <w:rsid w:val="006F0476"/>
    <w:rsid w:val="006F3009"/>
    <w:rsid w:val="007C496D"/>
    <w:rsid w:val="007E7590"/>
    <w:rsid w:val="007F7E8B"/>
    <w:rsid w:val="00853E00"/>
    <w:rsid w:val="00863C23"/>
    <w:rsid w:val="008A4320"/>
    <w:rsid w:val="008B7195"/>
    <w:rsid w:val="008E0CF7"/>
    <w:rsid w:val="00905787"/>
    <w:rsid w:val="00952F65"/>
    <w:rsid w:val="00961832"/>
    <w:rsid w:val="0097489F"/>
    <w:rsid w:val="009A705A"/>
    <w:rsid w:val="009B69A0"/>
    <w:rsid w:val="009C1160"/>
    <w:rsid w:val="009C35E5"/>
    <w:rsid w:val="00A1020E"/>
    <w:rsid w:val="00A168D0"/>
    <w:rsid w:val="00A35C5A"/>
    <w:rsid w:val="00A6320A"/>
    <w:rsid w:val="00AA021E"/>
    <w:rsid w:val="00AA50DF"/>
    <w:rsid w:val="00AD5D1E"/>
    <w:rsid w:val="00AD6B0D"/>
    <w:rsid w:val="00B3564A"/>
    <w:rsid w:val="00B36308"/>
    <w:rsid w:val="00B64065"/>
    <w:rsid w:val="00C05457"/>
    <w:rsid w:val="00C0740B"/>
    <w:rsid w:val="00C2791A"/>
    <w:rsid w:val="00C872EF"/>
    <w:rsid w:val="00CE13B5"/>
    <w:rsid w:val="00D366E8"/>
    <w:rsid w:val="00D40320"/>
    <w:rsid w:val="00DE195C"/>
    <w:rsid w:val="00E007E4"/>
    <w:rsid w:val="00E03CD1"/>
    <w:rsid w:val="00E16AE6"/>
    <w:rsid w:val="00E53C2C"/>
    <w:rsid w:val="00E754F2"/>
    <w:rsid w:val="00EC1B52"/>
    <w:rsid w:val="00EC4B68"/>
    <w:rsid w:val="00ED363B"/>
    <w:rsid w:val="00F05976"/>
    <w:rsid w:val="00F35734"/>
    <w:rsid w:val="00F71B4C"/>
    <w:rsid w:val="00F82164"/>
    <w:rsid w:val="00FA2652"/>
    <w:rsid w:val="00FC2A2A"/>
    <w:rsid w:val="00FD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0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195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5D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606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D1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719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5D1E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D6069"/>
    <w:rPr>
      <w:rFonts w:ascii="Cambria" w:hAnsi="Cambria" w:cs="Times New Roman"/>
      <w:color w:val="40404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0740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74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74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A1F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1FF0"/>
    <w:rPr>
      <w:rFonts w:eastAsia="Times New Roman" w:cs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A1F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1FF0"/>
    <w:rPr>
      <w:rFonts w:eastAsia="Times New Rom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rsid w:val="008B719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B7195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67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592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A35C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5C5A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C5A"/>
    <w:rPr>
      <w:rFonts w:ascii="Tahoma" w:hAnsi="Tahoma" w:cs="Tahoma"/>
      <w:sz w:val="16"/>
      <w:szCs w:val="16"/>
      <w:lang w:eastAsia="ru-RU"/>
    </w:rPr>
  </w:style>
  <w:style w:type="paragraph" w:customStyle="1" w:styleId="NormalANX">
    <w:name w:val="NormalANX"/>
    <w:basedOn w:val="Normal"/>
    <w:uiPriority w:val="99"/>
    <w:rsid w:val="005A562B"/>
    <w:pPr>
      <w:spacing w:before="240" w:after="24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D6069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4D6069"/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AD5D1E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612E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2EB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10</Pages>
  <Words>2797</Words>
  <Characters>15944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TNN</cp:lastModifiedBy>
  <cp:revision>74</cp:revision>
  <cp:lastPrinted>2015-11-02T09:56:00Z</cp:lastPrinted>
  <dcterms:created xsi:type="dcterms:W3CDTF">2015-10-31T15:27:00Z</dcterms:created>
  <dcterms:modified xsi:type="dcterms:W3CDTF">2015-11-17T07:44:00Z</dcterms:modified>
</cp:coreProperties>
</file>